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rPr>
          <w:rFonts w:ascii="Times New Roman" w:hAnsi="Times New Roman" w:eastAsia="Times New Roman" w:cs="Times New Roman"/>
          <w:sz w:val="28"/>
          <w:szCs w:val="28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     </w:t>
      </w:r>
    </w:p>
    <w:p>
      <w:pPr>
        <w:pStyle w:val="Normal"/>
        <w:widowControl w:val="false"/>
        <w:spacing w:lineRule="auto" w:line="276" w:before="0" w:after="0"/>
        <w:jc w:val="center"/>
        <w:rPr/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  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ПРОГРАМА </w:t>
      </w:r>
    </w:p>
    <w:p>
      <w:pPr>
        <w:pStyle w:val="Normal"/>
        <w:widowControl w:val="false"/>
        <w:spacing w:lineRule="auto" w:line="276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підтримки комунального некомерційного підприємства «Каховська центральна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міська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 лікарня Каховської  міської ради» на 2021 рік</w:t>
      </w:r>
    </w:p>
    <w:p>
      <w:pPr>
        <w:pStyle w:val="Normal"/>
        <w:widowControl w:val="false"/>
        <w:spacing w:lineRule="auto" w:line="276" w:before="0" w:after="0"/>
        <w:ind w:left="80" w:firstLine="72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76" w:before="0" w:after="0"/>
        <w:ind w:left="80" w:firstLine="720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                                               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ПАСПОРТ </w:t>
      </w:r>
    </w:p>
    <w:p>
      <w:pPr>
        <w:pStyle w:val="Normal"/>
        <w:widowControl w:val="false"/>
        <w:spacing w:lineRule="auto" w:line="276" w:before="0" w:after="0"/>
        <w:ind w:left="80" w:firstLine="72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tbl>
      <w:tblPr>
        <w:tblStyle w:val="20"/>
        <w:tblW w:w="9679" w:type="dxa"/>
        <w:jc w:val="left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93" w:type="dxa"/>
          <w:bottom w:w="0" w:type="dxa"/>
          <w:right w:w="108" w:type="dxa"/>
        </w:tblCellMar>
        <w:tblLook w:val="0400" w:noVBand="1" w:noHBand="0" w:lastColumn="0" w:firstColumn="0" w:lastRow="0" w:firstRow="0"/>
      </w:tblPr>
      <w:tblGrid>
        <w:gridCol w:w="1115"/>
        <w:gridCol w:w="3542"/>
        <w:gridCol w:w="5022"/>
      </w:tblGrid>
      <w:tr>
        <w:trPr/>
        <w:tc>
          <w:tcPr>
            <w:tcW w:w="1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5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КНП “Каховська ЦМЛ ім.Панкеєвих”</w:t>
            </w:r>
          </w:p>
        </w:tc>
      </w:tr>
      <w:tr>
        <w:trPr/>
        <w:tc>
          <w:tcPr>
            <w:tcW w:w="1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Розробник Програми</w:t>
            </w:r>
          </w:p>
        </w:tc>
        <w:tc>
          <w:tcPr>
            <w:tcW w:w="5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КНП “Каховська ЦМЛ ім.Панкеєвих”</w:t>
            </w:r>
          </w:p>
        </w:tc>
      </w:tr>
      <w:tr>
        <w:trPr/>
        <w:tc>
          <w:tcPr>
            <w:tcW w:w="1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5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Каховська  ТГ, </w:t>
            </w:r>
          </w:p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КНП “Каховська ЦМЛ ім.Панкеєвих”</w:t>
            </w:r>
          </w:p>
        </w:tc>
      </w:tr>
      <w:tr>
        <w:trPr/>
        <w:tc>
          <w:tcPr>
            <w:tcW w:w="1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Учасники програми</w:t>
            </w:r>
          </w:p>
        </w:tc>
        <w:tc>
          <w:tcPr>
            <w:tcW w:w="5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Каховська ТГ, </w:t>
            </w:r>
          </w:p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КНП “Каховська ЦМЛ ім.Панкеєвих”</w:t>
            </w:r>
          </w:p>
        </w:tc>
      </w:tr>
      <w:tr>
        <w:trPr/>
        <w:tc>
          <w:tcPr>
            <w:tcW w:w="1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5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2021 рік</w:t>
            </w:r>
          </w:p>
        </w:tc>
      </w:tr>
      <w:tr>
        <w:trPr/>
        <w:tc>
          <w:tcPr>
            <w:tcW w:w="1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Перелік бюджетів, які беруть участь у виконанні Програми</w:t>
            </w:r>
          </w:p>
        </w:tc>
        <w:tc>
          <w:tcPr>
            <w:tcW w:w="5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Державний бюджет,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районний бюджет Каховського району,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місцевий бюджет</w:t>
            </w:r>
          </w:p>
        </w:tc>
      </w:tr>
      <w:tr>
        <w:trPr/>
        <w:tc>
          <w:tcPr>
            <w:tcW w:w="1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7. 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5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2840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.0 тис. грн.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</w:tbl>
    <w:p>
      <w:pPr>
        <w:pStyle w:val="Normal"/>
        <w:widowControl w:val="false"/>
        <w:spacing w:lineRule="auto" w:line="276" w:before="0" w:after="0"/>
        <w:ind w:left="80" w:firstLine="72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76" w:before="0" w:after="253"/>
        <w:ind w:firstLine="720"/>
        <w:rPr/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                                        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1. Загальна частина</w:t>
      </w:r>
    </w:p>
    <w:p>
      <w:pPr>
        <w:pStyle w:val="Normal"/>
        <w:widowControl w:val="false"/>
        <w:spacing w:lineRule="auto" w:line="240" w:before="0" w:after="0"/>
        <w:ind w:right="280"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Здоров’я є найважливішим з прав людини та найвищою людською цінністю, від якої залежить економічний, фізичний та духовний потенціал суспільства. Це показник соціального і культурного прогресу, один із головних елементів національного багатства. Доступність, якість, сучасність, безпека, функціональність, ефективність, ресурсна   забезпеченість та своєчасність медичної допомоги є основою для забезпечення високого рівня здоров’я та покращення якості життя населення. 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За умов реформування охорони здоров’я  соціально-економічний розвиток лікарень не можливий без достатнього фінансування капітальних інвестицій, насамперед у модернізацію медичної апаратури, запровадження інноваційних і енергоощадних технологій. Капітальні інвестиції — це  вкладення капіталу  в основні засоби та нематеріальні активи. Основні фонди є найважливішим видом економічних ресурсів лікарні. Від рівня забезпеченості закладу сучасним діагностичним , лікувальним обладнанням та створення відповідних умов для їх ефективного використання залежить медична, соціальна та економічна ефективність лікувально-діагностичного процесу.    </w:t>
      </w:r>
    </w:p>
    <w:p>
      <w:pPr>
        <w:pStyle w:val="Normal"/>
        <w:widowControl w:val="false"/>
        <w:spacing w:lineRule="auto" w:line="240" w:before="0" w:after="0"/>
        <w:ind w:right="15"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Розпорядженням КМ України від 15 січня 2020р. №23-р «Про затвердження переліку опорних закладів охорони здоров’я у госпітальних округах на період до 2023 року, лікарня визнана опорною у госпітальному окрузі, та була визнана однією з 240 лікарень по Україні, так названої «першої хвилі», по прийому хворих на коронавірусну хворобу. 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Програма розроблена на підставі Закону України «Про місцеве</w:t>
        <w:br/>
        <w:t>самоврядування в Україні», Цивільного кодексу України, Господарського</w:t>
        <w:br/>
        <w:t>кодексу України, Бюджетного кодексу України та інших нормативно-</w:t>
        <w:br/>
        <w:t>правових актів.</w:t>
      </w:r>
    </w:p>
    <w:p>
      <w:pPr>
        <w:pStyle w:val="Normal"/>
        <w:spacing w:lineRule="auto" w:line="240" w:before="0" w:after="0"/>
        <w:ind w:firstLine="720"/>
        <w:jc w:val="both"/>
        <w:rPr/>
      </w:pPr>
      <w:bookmarkStart w:id="1" w:name="__DdeLink__173_1993846026"/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КНП “Каховська ЦМЛ ім.Панкеєвих” </w:t>
      </w:r>
      <w:bookmarkEnd w:id="1"/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є самостійним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господарюючим суб’єктом із статусом комунального некомерційного підприємства, здійснює господарську некомерційну діяльність, яка не передбачає отримання прибутку та спрямовану на досягнення, збереження, зміцнення здоров’я населення. </w:t>
      </w:r>
    </w:p>
    <w:p>
      <w:pPr>
        <w:pStyle w:val="Normal"/>
        <w:widowControl w:val="false"/>
        <w:spacing w:lineRule="auto" w:line="240" w:before="0" w:after="0"/>
        <w:ind w:right="48"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Актуальність програми зумовлена необхідністю виконання умов НСЗУ,</w:t>
      </w:r>
    </w:p>
    <w:p>
      <w:pPr>
        <w:pStyle w:val="Normal"/>
        <w:widowControl w:val="false"/>
        <w:spacing w:lineRule="auto" w:line="240" w:before="0" w:after="0"/>
        <w:ind w:right="48" w:hanging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поліпшення якості надання медичної допомоги населенню  Каховської ТГ, поліпшення матеріально-технічної бази лікарні, забезпечення надання планової та ургентної висококваліфікованої лікувально - діагностичної допомоги дорослому і дитячому населенню .</w:t>
      </w:r>
    </w:p>
    <w:p>
      <w:pPr>
        <w:pStyle w:val="Normal"/>
        <w:widowControl w:val="false"/>
        <w:spacing w:lineRule="auto" w:line="240" w:before="0" w:after="0"/>
        <w:ind w:right="48" w:hanging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 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2. Опис проблеми, на розв’язання якої спрямована Програма</w:t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pacing w:lineRule="auto" w:line="24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Одними із пріоритетних напрямків діяльності КНП “Каховська ЦМЛ ім.Панкеєвих”» </w:t>
      </w:r>
      <w:r>
        <w:rPr>
          <w:rFonts w:eastAsia="Times New Roman" w:cs="Times New Roman" w:ascii="Times New Roman" w:hAnsi="Times New Roman"/>
          <w:sz w:val="28"/>
          <w:szCs w:val="28"/>
        </w:rPr>
        <w:t>є: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впровадження   ефективних медичних технологій діагностичного та  лікувального процесів, які базуються на даних з доведеною ефективністю;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оснащення лікарні сучасним обладнанням, необхідним для використання  сучасних медичних технологій;</w:t>
      </w:r>
    </w:p>
    <w:p>
      <w:pPr>
        <w:pStyle w:val="Normal"/>
        <w:spacing w:lineRule="auto" w:line="240"/>
        <w:ind w:firstLine="72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впровадження системи безпеки пацієнтів при перебуванні в закладі; 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підвищення рівня інформаційної підтримки процесів управління лікарнею та прийнятті лікарських рішень в клінічній практиці;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Щорічно галузь охорони здоров’я недофінансовується до потреби. Не є виключенням і КНП “Каховська ЦМЛ ім.Панкеєвих”». Основною проблемою, на яку буде спрямована Програма - проблема фінансового характеру - нестача коштів на  оплату поточних та капітальних видатків. Дефіцит фінансового ресурсу унеможливить подальшу роботу КНП “Каховська ЦМЛ ім.Панкеєвих”, в тому числі у звя’зку з порушеннями вимог чинного законодавства у сфері пожежної та техногенної безпеки та цивільного захисту. 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Покращення якості медичної допомоги можливо лише при впровадженні нових інноваційних методів лікування, закупівлі сучасного медичного обладнання, безпеці перебування в лікарні. Досягнення даної мети можливо лише за умови раціонального використання наявних фінансових та кадрових ресурсів, консолідації бюджетів різних рівнів для оплати послуг, які надаються  лікувальним закладом.</w:t>
      </w:r>
    </w:p>
    <w:p>
      <w:pPr>
        <w:pStyle w:val="Normal"/>
        <w:widowControl w:val="false"/>
        <w:spacing w:lineRule="auto" w:line="240" w:before="0" w:after="0"/>
        <w:ind w:firstLine="58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 умовах переходу на нові умови фінансування, для забезпечення повноцінного функціонування лікарні, необхідні кошти для  оплати робіт та послуг, в тому числі комунальних; придбання медичних,  господарських та інших матеріалів.</w:t>
      </w:r>
    </w:p>
    <w:p>
      <w:pPr>
        <w:pStyle w:val="Normal"/>
        <w:widowControl w:val="false"/>
        <w:spacing w:lineRule="auto" w:line="240" w:before="0" w:after="346"/>
        <w:ind w:firstLine="58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Прийняття Програми фінансової підтримки створює правові засади для запровадження фінансування за рахунок додаткової фінансової підтримки за рахунок місцевих бюджетів.</w:t>
      </w:r>
    </w:p>
    <w:p>
      <w:pPr>
        <w:pStyle w:val="Normal"/>
        <w:widowControl w:val="false"/>
        <w:spacing w:lineRule="auto" w:line="259" w:before="0" w:after="193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bookmarkStart w:id="2" w:name="gjdgxs"/>
      <w:bookmarkEnd w:id="2"/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                                                       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3. Мета Програми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Основною метою створення Програми є фінансове забезпечення надання у 2021 році вторинної кваліфікованої медичної допомоги населенню, в тому числі забезпечення потреб населення з обмеженою руховою діяльністю  у  спеціалізованій та кваліфікованій  медичній допомозі за профілем, відповідно до спеціалізації лікувального закладу, виконання вимог чинного законодавства у сфері пожежної та техногенної безпеки та цивільного захисту  а також реалізації державної політики в галузі охорони здоров’я.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76" w:before="0" w:after="193"/>
        <w:ind w:left="1420" w:hanging="0"/>
        <w:rPr/>
      </w:pPr>
      <w:bookmarkStart w:id="3" w:name="30j0zll"/>
      <w:bookmarkEnd w:id="3"/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4. Основні завдання та стратегічні напрямки Програм</w:t>
      </w:r>
    </w:p>
    <w:p>
      <w:pPr>
        <w:pStyle w:val="Normal"/>
        <w:widowControl w:val="false"/>
        <w:spacing w:lineRule="auto" w:line="240" w:before="0" w:after="193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Основним завданням програми є сприяння розвитку закладу для надання доступної, якісної та безпечної кваліфікованої вторинної медичної допомоги населенню Каховського ТГ шляхом:</w:t>
      </w:r>
    </w:p>
    <w:p>
      <w:pPr>
        <w:pStyle w:val="Normal"/>
        <w:widowControl w:val="false"/>
        <w:numPr>
          <w:ilvl w:val="0"/>
          <w:numId w:val="1"/>
        </w:numPr>
        <w:tabs>
          <w:tab w:val="left" w:pos="913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впровадження ефективних медичних технологій діагностичного та лікувального процесів, які базуються на даних з доведеною ефективністю;</w:t>
      </w:r>
    </w:p>
    <w:p>
      <w:pPr>
        <w:pStyle w:val="Normal"/>
        <w:widowControl w:val="false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оснащення лікарні сучасним медичним обладнанням, необхідним для використання сучасних медичних технологій;</w:t>
      </w:r>
    </w:p>
    <w:p>
      <w:pPr>
        <w:pStyle w:val="Normal"/>
        <w:widowControl w:val="false"/>
        <w:numPr>
          <w:ilvl w:val="0"/>
          <w:numId w:val="1"/>
        </w:numPr>
        <w:tabs>
          <w:tab w:val="left" w:pos="913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впровадження системи безпеки пацієнтів при перебуванні в закладі охорони здоров’я;</w:t>
      </w:r>
    </w:p>
    <w:p>
      <w:pPr>
        <w:pStyle w:val="Normal"/>
        <w:widowControl w:val="false"/>
        <w:numPr>
          <w:ilvl w:val="0"/>
          <w:numId w:val="1"/>
        </w:numPr>
        <w:tabs>
          <w:tab w:val="left" w:pos="913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удосконалення лікувального процесу;</w:t>
      </w:r>
    </w:p>
    <w:p>
      <w:pPr>
        <w:pStyle w:val="Normal"/>
        <w:widowControl w:val="false"/>
        <w:numPr>
          <w:ilvl w:val="0"/>
          <w:numId w:val="1"/>
        </w:numPr>
        <w:tabs>
          <w:tab w:val="left" w:pos="913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укріплення та оновлення матеріально-технічної бази відповідно до табелів оснащення та умов надання послуг згідно договорів з НСЗУ;</w:t>
      </w:r>
    </w:p>
    <w:p>
      <w:pPr>
        <w:pStyle w:val="Normal"/>
        <w:widowControl w:val="false"/>
        <w:numPr>
          <w:ilvl w:val="0"/>
          <w:numId w:val="1"/>
        </w:numPr>
        <w:tabs>
          <w:tab w:val="left" w:pos="913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впровадження нових інноваційних методів лікування;</w:t>
      </w:r>
    </w:p>
    <w:p>
      <w:pPr>
        <w:pStyle w:val="Normal"/>
        <w:numPr>
          <w:ilvl w:val="0"/>
          <w:numId w:val="1"/>
        </w:numPr>
        <w:spacing w:lineRule="auto" w:line="276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технічне забезпечення інформаційного простору.</w:t>
      </w:r>
    </w:p>
    <w:p>
      <w:pPr>
        <w:pStyle w:val="Normal"/>
        <w:widowControl w:val="false"/>
        <w:numPr>
          <w:ilvl w:val="0"/>
          <w:numId w:val="1"/>
        </w:numPr>
        <w:tabs>
          <w:tab w:val="left" w:pos="83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впровадження системи персоніфікованого електронного реєстру громадян та сучасних інформаційних технологій в діяльності;</w:t>
      </w:r>
    </w:p>
    <w:p>
      <w:pPr>
        <w:pStyle w:val="Normal"/>
        <w:widowControl w:val="false"/>
        <w:tabs>
          <w:tab w:val="left" w:pos="836" w:leader="none"/>
        </w:tabs>
        <w:spacing w:lineRule="auto" w:line="240" w:before="0" w:after="0"/>
        <w:ind w:left="720" w:hanging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2100" w:hanging="0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5. Обсяг та джерела фінансування Програми</w:t>
      </w:r>
    </w:p>
    <w:p>
      <w:pPr>
        <w:pStyle w:val="Normal"/>
        <w:widowControl w:val="false"/>
        <w:spacing w:lineRule="auto" w:line="240" w:before="0" w:after="0"/>
        <w:ind w:left="2100" w:hanging="0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left" w:pos="913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Фінансове забезпечення Програми здійснюється відповідно до законодавства України за рахунок коштів Каховської  ТГ. 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Кошти, отримані за результатами діяльності, використовуються КНП “Каховська ЦМЛ ім.Панкеєвих”  на виконання запланованих заходів Програми.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Фінансова підтримка є безповоротною. Орієнтовані суми фінансової підтримки наведені в додатку 1 до Програми.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Звіт про виконання плану використання бюджетних коштів надається КНП “Каховська ЦМЛ ім.Панкеєвих”  до Каховської ТГ. 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                 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6.Керівництво та контроль реалізації Програми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Безпосередній контроль за виконанням програми проводить Власник 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193"/>
        <w:jc w:val="both"/>
        <w:rPr/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                           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6. Очікувані результати виконання Програми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Виконання Програми дасть змогу:</w:t>
      </w:r>
    </w:p>
    <w:p>
      <w:pPr>
        <w:pStyle w:val="Normal"/>
        <w:widowControl w:val="false"/>
        <w:numPr>
          <w:ilvl w:val="0"/>
          <w:numId w:val="2"/>
        </w:numPr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забезпечення вчасного , якісного та безпечного надання  медичної допомоги  населенню;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851" w:leader="none"/>
        </w:tabs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покращення якості надання медичних послуг;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973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підвищення конкурентноспроможності закладу в госпітальному окрузі;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973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підвищення задоволеності пацієнтів наданням послуг та перебуванням у закладі. </w:t>
      </w:r>
    </w:p>
    <w:p>
      <w:pPr>
        <w:pStyle w:val="Normal"/>
        <w:widowControl w:val="false"/>
        <w:tabs>
          <w:tab w:val="left" w:pos="973" w:leader="none"/>
        </w:tabs>
        <w:spacing w:lineRule="auto" w:line="240" w:before="0" w:after="0"/>
        <w:ind w:left="720" w:hanging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tabs>
          <w:tab w:val="left" w:pos="973" w:leader="none"/>
        </w:tabs>
        <w:spacing w:lineRule="auto" w:line="240" w:before="0" w:after="0"/>
        <w:ind w:left="720" w:hanging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              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7. Прикінцеві положення</w:t>
      </w:r>
    </w:p>
    <w:p>
      <w:pPr>
        <w:pStyle w:val="Normal"/>
        <w:widowControl w:val="false"/>
        <w:spacing w:lineRule="auto" w:line="240" w:before="0" w:after="0"/>
        <w:ind w:right="20" w:hanging="0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Програма визначає основні проблеми, мету, завдання, прогнозовані обсяги фінансового забезпечення та очікувані результати діяльності КНП “Каховська ЦМЛ ім.Панкеєвих” 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Програма має відкритий характер і може доповнюватись (змінюватись) в установленому чинним законодавством порядку в залежності від прийняття нових нормативних актів, затвердження та доповнення регіональних медичних програм, зміни потреб та фінансових можливостей громади.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Програма розрахована до 31.12.2021 та має завдання, які направлені на виконання визначених заходів, адаптованих до рівня потреб та можливостей району.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Реалізація Програми буде здійснюватися шляхом співпраці підприємства та органів місцевого самоврядування.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Перший заступник                                                  Галина Гондарева</w:t>
      </w:r>
    </w:p>
    <w:sectPr>
      <w:headerReference w:type="default" r:id="rId2"/>
      <w:footerReference w:type="default" r:id="rId3"/>
      <w:type w:val="nextPage"/>
      <w:pgSz w:w="12240" w:h="15840"/>
      <w:pgMar w:left="1701" w:right="850" w:header="708" w:top="1134" w:footer="708" w:bottom="851" w:gutter="0"/>
      <w:pgNumType w:start="1"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Georgia">
    <w:charset w:val="01"/>
    <w:family w:val="roman"/>
    <w:pitch w:val="variable"/>
  </w:font>
  <w:font w:name="Noto Sans Symbols">
    <w:charset w:val="01"/>
    <w:family w:val="swiss"/>
    <w:pitch w:val="default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enter" w:pos="4677" w:leader="none"/>
        <w:tab w:val="right" w:pos="9355" w:leader="none"/>
      </w:tabs>
      <w:spacing w:lineRule="auto" w:line="240" w:before="0" w:after="0"/>
      <w:rPr>
        <w:color w:val="000000"/>
      </w:rPr>
    </w:pPr>
    <w:r>
      <w:rPr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enter" w:pos="4677" w:leader="none"/>
        <w:tab w:val="right" w:pos="9355" w:leader="none"/>
      </w:tabs>
      <w:spacing w:lineRule="auto" w:line="240" w:before="0" w:after="0"/>
      <w:jc w:val="right"/>
      <w:rPr/>
    </w:pPr>
    <w:bookmarkStart w:id="4" w:name="_1fob9te"/>
    <w:bookmarkEnd w:id="4"/>
    <w:r>
      <w:rPr/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</w:p>
  <w:p>
    <w:pPr>
      <w:pStyle w:val="Normal"/>
      <w:tabs>
        <w:tab w:val="center" w:pos="4677" w:leader="none"/>
        <w:tab w:val="right" w:pos="9355" w:leader="none"/>
      </w:tabs>
      <w:spacing w:lineRule="auto" w:line="240" w:before="0" w:after="0"/>
      <w:rPr>
        <w:color w:val="000000"/>
      </w:rPr>
    </w:pPr>
    <w:r>
      <w:rPr>
        <w:color w:val="00000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cs="Noto Sans Symbols" w:hint="default"/>
        <w:sz w:val="28"/>
        <w:rFonts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  <w:rFonts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  <w:rFonts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  <w:rFonts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  <w:rFonts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  <w:rFonts w:cs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cs="Noto Sans Symbols" w:hint="default"/>
        <w:sz w:val="28"/>
        <w:rFonts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  <w:rFonts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  <w:rFonts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  <w:rFonts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  <w:rFonts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  <w:rFonts w:cs="Noto Sans Symbol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Cs w:val="22"/>
        <w:lang w:val="uk-UA" w:eastAsia="ru-RU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00000A"/>
      <w:sz w:val="22"/>
      <w:szCs w:val="22"/>
      <w:lang w:val="uk-UA" w:eastAsia="ru-RU" w:bidi="ar-SA"/>
    </w:rPr>
  </w:style>
  <w:style w:type="paragraph" w:styleId="1">
    <w:name w:val="Heading 1"/>
    <w:basedOn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Текст выноски Знак"/>
    <w:basedOn w:val="DefaultParagraphFont"/>
    <w:link w:val="a5"/>
    <w:uiPriority w:val="99"/>
    <w:semiHidden/>
    <w:qFormat/>
    <w:rsid w:val="00664d07"/>
    <w:rPr>
      <w:rFonts w:ascii="Segoe UI" w:hAnsi="Segoe UI" w:cs="Segoe UI"/>
      <w:sz w:val="18"/>
      <w:szCs w:val="18"/>
    </w:rPr>
  </w:style>
  <w:style w:type="character" w:styleId="ListLabel1">
    <w:name w:val="ListLabel 1"/>
    <w:qFormat/>
    <w:rPr>
      <w:rFonts w:ascii="Times New Roman" w:hAnsi="Times New Roman" w:eastAsia="Noto Sans Symbols" w:cs="Noto Sans Symbols"/>
      <w:sz w:val="28"/>
    </w:rPr>
  </w:style>
  <w:style w:type="character" w:styleId="ListLabel2">
    <w:name w:val="ListLabel 2"/>
    <w:qFormat/>
    <w:rPr>
      <w:rFonts w:eastAsia="Courier New" w:cs="Courier New"/>
    </w:rPr>
  </w:style>
  <w:style w:type="character" w:styleId="ListLabel3">
    <w:name w:val="ListLabel 3"/>
    <w:qFormat/>
    <w:rPr>
      <w:rFonts w:eastAsia="Noto Sans Symbols" w:cs="Noto Sans Symbols"/>
    </w:rPr>
  </w:style>
  <w:style w:type="character" w:styleId="ListLabel4">
    <w:name w:val="ListLabel 4"/>
    <w:qFormat/>
    <w:rPr>
      <w:rFonts w:eastAsia="Noto Sans Symbols" w:cs="Noto Sans Symbols"/>
    </w:rPr>
  </w:style>
  <w:style w:type="character" w:styleId="ListLabel5">
    <w:name w:val="ListLabel 5"/>
    <w:qFormat/>
    <w:rPr>
      <w:rFonts w:eastAsia="Courier New" w:cs="Courier New"/>
    </w:rPr>
  </w:style>
  <w:style w:type="character" w:styleId="ListLabel6">
    <w:name w:val="ListLabel 6"/>
    <w:qFormat/>
    <w:rPr>
      <w:rFonts w:eastAsia="Noto Sans Symbols" w:cs="Noto Sans Symbols"/>
    </w:rPr>
  </w:style>
  <w:style w:type="character" w:styleId="ListLabel7">
    <w:name w:val="ListLabel 7"/>
    <w:qFormat/>
    <w:rPr>
      <w:rFonts w:eastAsia="Noto Sans Symbols" w:cs="Noto Sans Symbols"/>
    </w:rPr>
  </w:style>
  <w:style w:type="character" w:styleId="ListLabel8">
    <w:name w:val="ListLabel 8"/>
    <w:qFormat/>
    <w:rPr>
      <w:rFonts w:eastAsia="Courier New" w:cs="Courier New"/>
    </w:rPr>
  </w:style>
  <w:style w:type="character" w:styleId="ListLabel9">
    <w:name w:val="ListLabel 9"/>
    <w:qFormat/>
    <w:rPr>
      <w:rFonts w:eastAsia="Noto Sans Symbols" w:cs="Noto Sans Symbols"/>
    </w:rPr>
  </w:style>
  <w:style w:type="character" w:styleId="ListLabel10">
    <w:name w:val="ListLabel 10"/>
    <w:qFormat/>
    <w:rPr>
      <w:rFonts w:ascii="Times New Roman" w:hAnsi="Times New Roman" w:eastAsia="Noto Sans Symbols" w:cs="Noto Sans Symbols"/>
      <w:sz w:val="28"/>
    </w:rPr>
  </w:style>
  <w:style w:type="character" w:styleId="ListLabel11">
    <w:name w:val="ListLabel 11"/>
    <w:qFormat/>
    <w:rPr>
      <w:rFonts w:eastAsia="Courier New" w:cs="Courier New"/>
    </w:rPr>
  </w:style>
  <w:style w:type="character" w:styleId="ListLabel12">
    <w:name w:val="ListLabel 12"/>
    <w:qFormat/>
    <w:rPr>
      <w:rFonts w:eastAsia="Noto Sans Symbols" w:cs="Noto Sans Symbols"/>
    </w:rPr>
  </w:style>
  <w:style w:type="character" w:styleId="ListLabel13">
    <w:name w:val="ListLabel 13"/>
    <w:qFormat/>
    <w:rPr>
      <w:rFonts w:eastAsia="Noto Sans Symbols" w:cs="Noto Sans Symbols"/>
    </w:rPr>
  </w:style>
  <w:style w:type="character" w:styleId="ListLabel14">
    <w:name w:val="ListLabel 14"/>
    <w:qFormat/>
    <w:rPr>
      <w:rFonts w:eastAsia="Courier New" w:cs="Courier New"/>
    </w:rPr>
  </w:style>
  <w:style w:type="character" w:styleId="ListLabel15">
    <w:name w:val="ListLabel 15"/>
    <w:qFormat/>
    <w:rPr>
      <w:rFonts w:eastAsia="Noto Sans Symbols" w:cs="Noto Sans Symbols"/>
    </w:rPr>
  </w:style>
  <w:style w:type="character" w:styleId="ListLabel16">
    <w:name w:val="ListLabel 16"/>
    <w:qFormat/>
    <w:rPr>
      <w:rFonts w:eastAsia="Noto Sans Symbols" w:cs="Noto Sans Symbols"/>
    </w:rPr>
  </w:style>
  <w:style w:type="character" w:styleId="ListLabel17">
    <w:name w:val="ListLabel 17"/>
    <w:qFormat/>
    <w:rPr>
      <w:rFonts w:eastAsia="Courier New" w:cs="Courier New"/>
    </w:rPr>
  </w:style>
  <w:style w:type="character" w:styleId="ListLabel18">
    <w:name w:val="ListLabel 18"/>
    <w:qFormat/>
    <w:rPr>
      <w:rFonts w:eastAsia="Noto Sans Symbols" w:cs="Noto Sans Symbols"/>
    </w:rPr>
  </w:style>
  <w:style w:type="character" w:styleId="ListLabel19">
    <w:name w:val="ListLabel 19"/>
    <w:qFormat/>
    <w:rPr>
      <w:rFonts w:ascii="Times New Roman" w:hAnsi="Times New Roman" w:cs="Noto Sans Symbols"/>
      <w:sz w:val="28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Noto Sans Symbols"/>
    </w:rPr>
  </w:style>
  <w:style w:type="character" w:styleId="ListLabel22">
    <w:name w:val="ListLabel 22"/>
    <w:qFormat/>
    <w:rPr>
      <w:rFonts w:cs="Noto Sans Symbols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Noto Sans Symbols"/>
    </w:rPr>
  </w:style>
  <w:style w:type="character" w:styleId="ListLabel25">
    <w:name w:val="ListLabel 25"/>
    <w:qFormat/>
    <w:rPr>
      <w:rFonts w:cs="Noto Sans Symbols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Noto Sans Symbols"/>
    </w:rPr>
  </w:style>
  <w:style w:type="character" w:styleId="ListLabel28">
    <w:name w:val="ListLabel 28"/>
    <w:qFormat/>
    <w:rPr>
      <w:rFonts w:ascii="Times New Roman" w:hAnsi="Times New Roman" w:cs="Noto Sans Symbols"/>
      <w:sz w:val="28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Noto Sans Symbols"/>
    </w:rPr>
  </w:style>
  <w:style w:type="character" w:styleId="ListLabel31">
    <w:name w:val="ListLabel 31"/>
    <w:qFormat/>
    <w:rPr>
      <w:rFonts w:cs="Noto Sans Symbols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Noto Sans Symbols"/>
    </w:rPr>
  </w:style>
  <w:style w:type="character" w:styleId="ListLabel34">
    <w:name w:val="ListLabel 34"/>
    <w:qFormat/>
    <w:rPr>
      <w:rFonts w:cs="Noto Sans Symbols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Noto Sans Symbols"/>
    </w:rPr>
  </w:style>
  <w:style w:type="character" w:styleId="ListLabel37">
    <w:name w:val="ListLabel 37"/>
    <w:qFormat/>
    <w:rPr>
      <w:rFonts w:ascii="Times New Roman" w:hAnsi="Times New Roman" w:cs="Noto Sans Symbols"/>
      <w:sz w:val="28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Noto Sans Symbols"/>
    </w:rPr>
  </w:style>
  <w:style w:type="character" w:styleId="ListLabel40">
    <w:name w:val="ListLabel 40"/>
    <w:qFormat/>
    <w:rPr>
      <w:rFonts w:cs="Noto Sans Symbols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Noto Sans Symbols"/>
    </w:rPr>
  </w:style>
  <w:style w:type="character" w:styleId="ListLabel43">
    <w:name w:val="ListLabel 43"/>
    <w:qFormat/>
    <w:rPr>
      <w:rFonts w:cs="Noto Sans Symbols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Noto Sans Symbols"/>
    </w:rPr>
  </w:style>
  <w:style w:type="character" w:styleId="ListLabel46">
    <w:name w:val="ListLabel 46"/>
    <w:qFormat/>
    <w:rPr>
      <w:rFonts w:ascii="Times New Roman" w:hAnsi="Times New Roman" w:cs="Noto Sans Symbols"/>
      <w:sz w:val="28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Noto Sans Symbols"/>
    </w:rPr>
  </w:style>
  <w:style w:type="character" w:styleId="ListLabel49">
    <w:name w:val="ListLabel 49"/>
    <w:qFormat/>
    <w:rPr>
      <w:rFonts w:cs="Noto Sans Symbols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Noto Sans Symbols"/>
    </w:rPr>
  </w:style>
  <w:style w:type="character" w:styleId="ListLabel52">
    <w:name w:val="ListLabel 52"/>
    <w:qFormat/>
    <w:rPr>
      <w:rFonts w:cs="Noto Sans Symbols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Noto Sans Symbols"/>
    </w:rPr>
  </w:style>
  <w:style w:type="character" w:styleId="ListLabel55">
    <w:name w:val="ListLabel 55"/>
    <w:qFormat/>
    <w:rPr>
      <w:rFonts w:ascii="Times New Roman" w:hAnsi="Times New Roman" w:cs="Noto Sans Symbols"/>
      <w:sz w:val="28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Noto Sans Symbols"/>
    </w:rPr>
  </w:style>
  <w:style w:type="character" w:styleId="ListLabel58">
    <w:name w:val="ListLabel 58"/>
    <w:qFormat/>
    <w:rPr>
      <w:rFonts w:cs="Noto Sans Symbols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cs="Noto Sans Symbols"/>
    </w:rPr>
  </w:style>
  <w:style w:type="character" w:styleId="ListLabel61">
    <w:name w:val="ListLabel 61"/>
    <w:qFormat/>
    <w:rPr>
      <w:rFonts w:cs="Noto Sans Symbols"/>
    </w:rPr>
  </w:style>
  <w:style w:type="character" w:styleId="ListLabel62">
    <w:name w:val="ListLabel 62"/>
    <w:qFormat/>
    <w:rPr>
      <w:rFonts w:cs="Courier New"/>
    </w:rPr>
  </w:style>
  <w:style w:type="character" w:styleId="ListLabel63">
    <w:name w:val="ListLabel 63"/>
    <w:qFormat/>
    <w:rPr>
      <w:rFonts w:cs="Noto Sans Symbols"/>
    </w:rPr>
  </w:style>
  <w:style w:type="character" w:styleId="ListLabel64">
    <w:name w:val="ListLabel 64"/>
    <w:qFormat/>
    <w:rPr>
      <w:rFonts w:ascii="Times New Roman" w:hAnsi="Times New Roman" w:cs="Noto Sans Symbols"/>
      <w:sz w:val="28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Noto Sans Symbols"/>
    </w:rPr>
  </w:style>
  <w:style w:type="character" w:styleId="ListLabel67">
    <w:name w:val="ListLabel 67"/>
    <w:qFormat/>
    <w:rPr>
      <w:rFonts w:cs="Noto Sans Symbols"/>
    </w:rPr>
  </w:style>
  <w:style w:type="character" w:styleId="ListLabel68">
    <w:name w:val="ListLabel 68"/>
    <w:qFormat/>
    <w:rPr>
      <w:rFonts w:cs="Courier New"/>
    </w:rPr>
  </w:style>
  <w:style w:type="character" w:styleId="ListLabel69">
    <w:name w:val="ListLabel 69"/>
    <w:qFormat/>
    <w:rPr>
      <w:rFonts w:cs="Noto Sans Symbols"/>
    </w:rPr>
  </w:style>
  <w:style w:type="character" w:styleId="ListLabel70">
    <w:name w:val="ListLabel 70"/>
    <w:qFormat/>
    <w:rPr>
      <w:rFonts w:cs="Noto Sans Symbols"/>
    </w:rPr>
  </w:style>
  <w:style w:type="character" w:styleId="ListLabel71">
    <w:name w:val="ListLabel 71"/>
    <w:qFormat/>
    <w:rPr>
      <w:rFonts w:cs="Courier New"/>
    </w:rPr>
  </w:style>
  <w:style w:type="character" w:styleId="ListLabel72">
    <w:name w:val="ListLabel 72"/>
    <w:qFormat/>
    <w:rPr>
      <w:rFonts w:cs="Noto Sans Symbols"/>
    </w:rPr>
  </w:style>
  <w:style w:type="paragraph" w:styleId="Style9">
    <w:name w:val="Заголовок"/>
    <w:basedOn w:val="Normal"/>
    <w:next w:val="Style10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0">
    <w:name w:val="Body Text"/>
    <w:basedOn w:val="Normal"/>
    <w:pPr>
      <w:spacing w:lineRule="auto" w:line="288" w:before="0" w:after="140"/>
    </w:pPr>
    <w:rPr/>
  </w:style>
  <w:style w:type="paragraph" w:styleId="Style11">
    <w:name w:val="List"/>
    <w:basedOn w:val="Style10"/>
    <w:pPr/>
    <w:rPr>
      <w:rFonts w:cs="FreeSans"/>
    </w:rPr>
  </w:style>
  <w:style w:type="paragraph" w:styleId="Style12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FreeSans"/>
    </w:rPr>
  </w:style>
  <w:style w:type="paragraph" w:styleId="Style14">
    <w:name w:val="Title"/>
    <w:basedOn w:val="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tyle15">
    <w:name w:val="Subtitle"/>
    <w:basedOn w:val="Normal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664d07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16">
    <w:name w:val="Header"/>
    <w:basedOn w:val="Normal"/>
    <w:pPr/>
    <w:rPr/>
  </w:style>
  <w:style w:type="paragraph" w:styleId="Style17">
    <w:name w:val="Foot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0">
    <w:name w:val="2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1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LibreOffice/5.1.6.2$Linux_x86 LibreOffice_project/10m0$Build-2</Application>
  <Pages>4</Pages>
  <Words>958</Words>
  <Characters>6996</Characters>
  <CharactersWithSpaces>8230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2021-02-23T05:58:00Z</dcterms:created>
  <dc:creator>Пользователь Windows</dc:creator>
  <dc:description/>
  <dc:language>ru-RU</dc:language>
  <cp:lastModifiedBy/>
  <dcterms:modified xsi:type="dcterms:W3CDTF">2021-10-20T11:25:51Z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