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    Затверджено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рішенням____сесії Каховської     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міської ради VIII скликання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___________№_____________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ПРОГРАМА підтримки</w:t>
        <w:br/>
        <w:t xml:space="preserve">Комунального некомерційного підприємства «Каховська центральна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міська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лікарня імені родини Панкеєвих Каховської  міської ради»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на 2022 рік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widowControl w:val="false"/>
        <w:spacing w:before="0" w:after="0"/>
        <w:ind w:left="80" w:firstLine="720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ПАСПОРТ </w:t>
      </w:r>
    </w:p>
    <w:tbl>
      <w:tblPr>
        <w:tblW w:w="9679" w:type="dxa"/>
        <w:jc w:val="lef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val="0400" w:noVBand="1" w:noHBand="0" w:lastColumn="0" w:firstColumn="0" w:lastRow="0" w:firstRow="0"/>
      </w:tblPr>
      <w:tblGrid>
        <w:gridCol w:w="1115"/>
        <w:gridCol w:w="3542"/>
        <w:gridCol w:w="5022"/>
      </w:tblGrid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Комунальне некомерційне підприємство «Каховська центральна міська лікарня імені родини Панкеєвих Каховської міської  ради» (Далі - КНП «Каховська ЦМЛ ім.Панкеєвих)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Розробник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КНП «Каховська ЦМЛ ім.Панкеєвих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Каховська  міська рада,  КНП  «Каховська ЦМЛ   ім. Панкеєвих»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Учасники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Каховська міська рада, КНП  «Каховська ЦМЛ ім. Панкевих»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2022 рік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Місцевий бюджет, бюджет КНП «Каховська ЦМЛ ім.Панкеєвих», інші надходження  не заборонені чинним законодавством</w:t>
            </w:r>
          </w:p>
        </w:tc>
      </w:tr>
      <w:tr>
        <w:trPr/>
        <w:tc>
          <w:tcPr>
            <w:tcW w:w="1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3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 т.ч. місцевий бюджет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бюджет КНП «Каховська ЦМЛ ім.Панкеєвих»</w:t>
            </w:r>
          </w:p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інші надходження</w:t>
            </w:r>
          </w:p>
        </w:tc>
        <w:tc>
          <w:tcPr>
            <w:tcW w:w="5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14920,90 тис. грн. 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12135,90 тис. грн.</w:t>
            </w:r>
          </w:p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2235,00 тис. грн.</w:t>
            </w:r>
          </w:p>
          <w:p>
            <w:pPr>
              <w:pStyle w:val="Normal"/>
              <w:widowControl w:val="false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550,00 тис. грн.</w:t>
            </w:r>
          </w:p>
        </w:tc>
      </w:tr>
    </w:tbl>
    <w:p>
      <w:pPr>
        <w:pStyle w:val="Normal"/>
        <w:widowControl w:val="false"/>
        <w:spacing w:before="0" w:after="0"/>
        <w:ind w:left="80" w:hanging="0"/>
        <w:rPr>
          <w:rFonts w:ascii="Times New Roman" w:hAnsi="Times New Roman" w:eastAsia="Times New Roman" w:cs="Times New Roman"/>
          <w:color w:val="000000"/>
          <w:sz w:val="12"/>
          <w:szCs w:val="12"/>
        </w:rPr>
      </w:pPr>
      <w:r>
        <w:rPr>
          <w:rFonts w:eastAsia="Times New Roman" w:cs="Times New Roman" w:ascii="Times New Roman" w:hAnsi="Times New Roman"/>
          <w:color w:val="000000"/>
          <w:sz w:val="12"/>
          <w:szCs w:val="12"/>
        </w:rPr>
      </w:r>
    </w:p>
    <w:p>
      <w:pPr>
        <w:pStyle w:val="Normal"/>
        <w:widowControl w:val="false"/>
        <w:spacing w:lineRule="auto" w:line="240" w:before="0" w:after="253"/>
        <w:ind w:firstLine="72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1. Загальна частина</w:t>
      </w:r>
    </w:p>
    <w:p>
      <w:pPr>
        <w:pStyle w:val="Normal"/>
        <w:widowControl w:val="false"/>
        <w:spacing w:lineRule="auto" w:line="240" w:before="0" w:after="0"/>
        <w:ind w:firstLine="737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Здоров’я є найважливішим з прав людини та найвищою людською цінністю, від якої залежить економічний, фізичний та духовний потенціал суспільства. Це показник соціального і культурного прогресу, один із головних елементів національного багатства. Доступність, якість, сучасність, безпека, функціональність, ефективність, ресурсна забезпеченість та своєчасність медичної допомоги є основою для забезпечення високого рівня здоров’я та покращення якості життя населення.  </w:t>
      </w:r>
    </w:p>
    <w:p>
      <w:pPr>
        <w:pStyle w:val="Normal"/>
        <w:widowControl w:val="false"/>
        <w:spacing w:lineRule="auto" w:line="240" w:before="0" w:after="0"/>
        <w:ind w:firstLine="73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37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За умов реформування охорони здоров’я  соціально-економічний розвиток лікарень не можливий без достатнього фінансування капітальних інвестицій, насамперед у модернізацію медичної апаратури, запровадження інноваційних і енергоощадних технологій. Капітальні інвестиції — це  вкладення капіталу  в основні засоби та нематеріальні активи. Основні фонди є найважливішим видом економічних ресурсів лікарні. Від рівня забезпеченості закладу сучасним діагностичним , лікувальним обладнанням та створення відповідних умов для їх ефективного використання залежить медична, соціальна та економічна ефективність лікувально-діагностичного процесу.    </w:t>
      </w:r>
    </w:p>
    <w:p>
      <w:pPr>
        <w:pStyle w:val="Normal"/>
        <w:widowControl w:val="false"/>
        <w:spacing w:lineRule="auto" w:line="240" w:before="0" w:after="0"/>
        <w:ind w:right="15"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Розпорядженням КМ України від 07 жовтня 2021 року № 64 «Про затвердження змін до переліку опорних закладів охорони здоров’я у госпітальних округах на період до 2023 року, лікарня визнана опорною у госпітальному окрузі, та була визнана однією з 6 лікарень по Херсонській області, так названої «другої хвилі», по прийому хворих на коронавірусну хворобу.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розроблена на підставі Закону України «Про місцеве</w:t>
        <w:br/>
        <w:t>самоврядування в Україні», Цивільного кодексу України, Господарського</w:t>
        <w:br/>
        <w:t>кодексу України, Бюджетного кодексу України та інших нормативно-</w:t>
        <w:br/>
        <w:t>правових актів.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КНП «Каховська ЦМЛ ім. Панкеєвих» є самостійним господарюючим суб’єктом із статусом комунального некомерційного підприємства, здійснює господарську некомерційну діяльність, яка не передбачає отримання прибутку та спрямовану на досягнення, збереження, зміцнення здоров’я населення. </w:t>
      </w:r>
    </w:p>
    <w:p>
      <w:pPr>
        <w:pStyle w:val="Normal"/>
        <w:widowControl w:val="false"/>
        <w:spacing w:lineRule="auto" w:line="240" w:before="0" w:after="0"/>
        <w:ind w:right="48"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Актуальність програми зумовлена необхідністю виконання умов НСЗУ, поліпшення якості надання медичної допомоги населенню  Каховської ТГ, поліпшення матеріально-технічної бази лікарні, забезпечення надання планової та ургентної висококваліфікованої лікувально - діагностичної допомоги дорослому і дитячому населенню. </w:t>
      </w:r>
    </w:p>
    <w:p>
      <w:pPr>
        <w:pStyle w:val="Normal"/>
        <w:widowControl w:val="false"/>
        <w:spacing w:lineRule="auto" w:line="240" w:before="0" w:after="0"/>
        <w:ind w:right="48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2. Опис проблеми, на розв’язання якої спрямована Програма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Одними із пріоритетних напрямків діяльності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Л ім. Панкеєвих» </w:t>
      </w:r>
      <w:r>
        <w:rPr>
          <w:rFonts w:eastAsia="Times New Roman" w:cs="Times New Roman" w:ascii="Times New Roman" w:hAnsi="Times New Roman"/>
          <w:sz w:val="28"/>
          <w:szCs w:val="28"/>
        </w:rPr>
        <w:t>є: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впровадження   ефективних медичних технологій діагностичного та лікувального процесів, які базуються на даних з доведеною ефективністю;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оснащення лікарні сучасним обладнанням, необхідним для використання  сучасних медичних технологій;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впровадження системи безпеки пацієнтів при перебуванні в закладі ; 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підвищення рівня інформаційної підтримки процесів управління лікарнею та прийнятті лікарських рішень в клінічній практиці;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Щорічно галузь охорони здоров’я недофінансовується до потреби. Не є виключенням і КНП «Каховська ЦМЛ ім. Панкеєвих». Основною проблемою, на яку буде спрямована Програма - проблема фінансового характеру - нестача коштів на  оплату поточних та капітальних видатків. Дефіцит фінансового ресурсу унеможливить подальшу роботу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Л ім.Панкеєвих», в тому числі у звя’зку з порушеннями вимог чинного законодавства у сфері пожежної та техногенної безпеки та цивільного захисту.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Покращення якості медичної допомоги можливо лише при впровадженні нових інноваційних методів лікування, закупівлі сучасного медичного обладнання, безпеці перебування в лікарні. Досягнення даної мети можливо лише за умови раціонального використання наявних фінансових та кадрових ресурсів, консолідації бюджетів різних рівнів для оплати послуг, які надаються  лікувальним закладом.</w:t>
      </w:r>
    </w:p>
    <w:p>
      <w:pPr>
        <w:pStyle w:val="Normal"/>
        <w:widowControl w:val="false"/>
        <w:spacing w:lineRule="auto" w:line="240" w:before="0" w:after="0"/>
        <w:ind w:firstLine="5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 умовах переходу на нові умови фінансування, для забезпечення повноцінного функціонування лікарні, необхідні кошти для  оплати робіт та послуг, в тому числі комунальних; придбання медичних,  господарських та інших матеріалів.</w:t>
      </w:r>
    </w:p>
    <w:p>
      <w:pPr>
        <w:pStyle w:val="Normal"/>
        <w:widowControl w:val="false"/>
        <w:spacing w:lineRule="auto" w:line="240" w:before="0" w:after="346"/>
        <w:ind w:firstLine="5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Прийняття Програми фінансової підтримки створює правові засади для запровадження фінансування за рахунок додаткової фінансової підтримки за рахунок місцевих бюджетів.</w:t>
      </w:r>
    </w:p>
    <w:p>
      <w:pPr>
        <w:pStyle w:val="Normal"/>
        <w:widowControl w:val="false"/>
        <w:spacing w:lineRule="auto" w:line="240" w:before="0" w:after="193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bookmarkStart w:id="0" w:name="gjdgxs"/>
      <w:bookmarkEnd w:id="0"/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3. Мета Програми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Основною метою створення Програми є фінансове забезпечення надання у 2022 році вторинної кваліфікованої медичної допомоги населенню, в тому числі забезпечення потреб населення з обмеженою руховою діяльністю  у  спеціалізованій та кваліфікованій  медичній допомозі за профілем, відповідно до спеціалізації лікувального закладу, виконання вимог чинного законодавства у сфері пожежної та техногенної безпеки та цивільного захисту  а також реалізації державної політики в галузі охорони здоров’я.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193"/>
        <w:ind w:left="1420" w:hanging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193"/>
        <w:ind w:left="1420" w:hanging="0"/>
        <w:rPr/>
      </w:pPr>
      <w:bookmarkStart w:id="1" w:name="30j0zll"/>
      <w:bookmarkEnd w:id="1"/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4. Основні завдання та стратегічні напрямки Програм</w:t>
      </w:r>
    </w:p>
    <w:p>
      <w:pPr>
        <w:pStyle w:val="Normal"/>
        <w:widowControl w:val="false"/>
        <w:spacing w:lineRule="auto" w:line="240" w:before="0" w:after="193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Основним завданням Програми є сприяння розвитку закладу для надання доступної, якісної та безпечної кваліфікованої вторинної медичної допомоги населенню Каховського ТГ шляхом: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ефективних медичних технологій діагностичного та лікувального процесів, які базуються на даних з доведеною ефективністю;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оснащення лікарні сучасним медичним обладнанням, необхідним для використання сучасних медичних технологій;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системи безпеки пацієнтів при перебуванні в закладі охорони здоров’я;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удосконалення лікувального процесу;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укріплення та оновлення матеріально-технічної бази відповідно до табелів оснащення та умов надання послуг згідно договорів з НСЗУ;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нових інноваційних методів лікування;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технічне забезпечення інформаційного простору;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83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впровадження системи персоніфікованого електронного реєстру громадян та сучасних інформаційних технологій в діяльності;</w:t>
      </w:r>
    </w:p>
    <w:p>
      <w:pPr>
        <w:pStyle w:val="Normal"/>
        <w:widowControl w:val="false"/>
        <w:tabs>
          <w:tab w:val="left" w:pos="836" w:leader="none"/>
        </w:tabs>
        <w:spacing w:lineRule="auto" w:line="240" w:before="0" w:after="0"/>
        <w:ind w:left="720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2100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5. Обсяг та джерела фінансування Програми</w:t>
      </w:r>
    </w:p>
    <w:p>
      <w:pPr>
        <w:pStyle w:val="Normal"/>
        <w:widowControl w:val="false"/>
        <w:spacing w:lineRule="auto" w:line="240" w:before="0" w:after="0"/>
        <w:ind w:left="2100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left" w:pos="91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Фінансове забезпечення Програми здійснюється відповідно до законодавства України за рахунок коштів Каховської  ТГ.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Кошти, отримані за результатами діяльності, використовуються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 ім.Панкеєвих» на виконання запланованих заходів Програми.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Фінансова підтримка є безповоротною. Орієнтовані суми фінансової підтримки наведені в додатку 1 до Програми.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Звіт про виконання плану використання бюджетних коштів надається 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Л ім.Панкеєвих» до Каховської ТГ.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6.Керівництво та контроль реалізації Програми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Безпосередній контроль за виконанням програми проводить Власник .</w:t>
      </w:r>
    </w:p>
    <w:p>
      <w:pPr>
        <w:pStyle w:val="Normal"/>
        <w:widowControl w:val="false"/>
        <w:spacing w:lineRule="auto" w:line="240" w:before="0" w:after="193"/>
        <w:jc w:val="both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193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7. Очікувані результати виконання Програми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Виконання Програми дасть змогу: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забезпечення вчасного, якісного та безпечного надання  медичної допомоги  населенню;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85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покращення якості надання медичних послуг;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97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підвищення конкурентно спроможності закладу в госпітальному окрузі;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973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підвищення задоволеності пацієнтів наданням послуг та перебуванням у закладі. </w:t>
      </w:r>
    </w:p>
    <w:p>
      <w:pPr>
        <w:pStyle w:val="Normal"/>
        <w:widowControl w:val="false"/>
        <w:tabs>
          <w:tab w:val="left" w:pos="973" w:leader="none"/>
        </w:tabs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left" w:pos="973" w:leader="none"/>
        </w:tabs>
        <w:spacing w:lineRule="auto" w:line="240" w:before="0" w:after="0"/>
        <w:ind w:left="720" w:hanging="0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8. Прикінцеві положення</w:t>
      </w:r>
    </w:p>
    <w:p>
      <w:pPr>
        <w:pStyle w:val="Normal"/>
        <w:widowControl w:val="false"/>
        <w:tabs>
          <w:tab w:val="left" w:pos="973" w:leader="none"/>
        </w:tabs>
        <w:spacing w:lineRule="auto" w:line="240" w:before="0" w:after="0"/>
        <w:ind w:left="720" w:hanging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визначає основні проблеми, мету, завдання, прогнозовані обсяги фінансового забезпечення та очікувані результати діяльності К</w:t>
      </w:r>
      <w:r>
        <w:rPr>
          <w:rFonts w:eastAsia="Times New Roman" w:cs="Times New Roman" w:ascii="Times New Roman" w:hAnsi="Times New Roman"/>
          <w:sz w:val="28"/>
          <w:szCs w:val="28"/>
        </w:rPr>
        <w:t>НП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«Каховська ЦМЛ ім. Панкеєвих».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має відкритий характер і може доповнюватись (змінюватись) в установленому чинним законодавством порядку в залежності від прийняття нових нормативних актів, затвердження та доповнення регіональних медичних програм, зміни потреб та фінансових можливостей громади.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Програма розрахована до 31 грудня 2022 року, має завдання, які направлені на виконання визначених заходів, адаптованих до рівня потреб та можливостей району.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Реалізація Програми буде здійснюватися шляхом співпраці підприємства та органів місцевого самоврядування.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В.о. Директора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КНП «Каховська Ц</w:t>
      </w:r>
      <w:r>
        <w:rPr>
          <w:rFonts w:eastAsia="Times New Roman" w:cs="Times New Roman" w:ascii="Times New Roman" w:hAnsi="Times New Roman"/>
          <w:sz w:val="28"/>
          <w:szCs w:val="28"/>
        </w:rPr>
        <w:t>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Л ім. Панкеєвих»                                    Андрій Федотов          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</w:t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</w:t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</w:t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Додаток  до Програми</w:t>
      </w:r>
    </w:p>
    <w:p>
      <w:pPr>
        <w:pStyle w:val="Normal"/>
        <w:widowControl w:val="false"/>
        <w:spacing w:lineRule="auto" w:line="240" w:before="0" w:after="0"/>
        <w:ind w:right="180" w:hanging="0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bookmarkStart w:id="2" w:name="_GoBack"/>
      <w:bookmarkStart w:id="3" w:name="_GoBack"/>
      <w:bookmarkEnd w:id="3"/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12" w:before="0" w:after="0"/>
        <w:ind w:right="60" w:hanging="0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Напрямки діяльності та заходи Програми</w:t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Style w:val="ae"/>
        <w:tblW w:w="9905" w:type="dxa"/>
        <w:jc w:val="left"/>
        <w:tblInd w:w="-15" w:type="dxa"/>
        <w:tblCellMar>
          <w:top w:w="0" w:type="dxa"/>
          <w:left w:w="9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86"/>
        <w:gridCol w:w="1841"/>
        <w:gridCol w:w="3320"/>
        <w:gridCol w:w="1174"/>
        <w:gridCol w:w="1550"/>
        <w:gridCol w:w="1533"/>
      </w:tblGrid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Напрямок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Захід</w:t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Місцевий бюджет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тис.грн.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Кошти КНП «Каховська ЦМЛ ім.Панкеєвих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тис.грн.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Інші надходження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тис.грн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Забезпечення високого рівня безпеки та доступності послуг для маломобільних груп пацієнтів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1.Усунення порушень вимог законодавства у сфері техногенної та пожежної безпеки та цивільного захисту:</w:t>
            </w:r>
          </w:p>
          <w:p>
            <w:pPr>
              <w:pStyle w:val="ListParagraph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обладнання відділень установкою автоматичної пожежної сигналізації м.Каховка вул. Михайла Жука,36 та вул. Першотравнева,34</w:t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1147,3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250,0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1147,3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250,0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Підвищення рівня комфорту перебування пацієнтів у лікарні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1.Капітальний ремонт у відділені загальної хірургії</w:t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2348,6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2348,6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Підвищення рівня надання медичної допомоги населенню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ind w:left="108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1.Придбання функціональних ліжок.</w:t>
            </w:r>
          </w:p>
          <w:p>
            <w:pPr>
              <w:pStyle w:val="ListParagraph"/>
              <w:spacing w:lineRule="auto" w:line="240" w:before="0" w:after="0"/>
              <w:ind w:left="108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2.Придбання операціного столу в відділення загальної хірургії.</w:t>
            </w:r>
          </w:p>
          <w:p>
            <w:pPr>
              <w:pStyle w:val="ListParagraph"/>
              <w:spacing w:lineRule="auto" w:line="240" w:before="0" w:after="0"/>
              <w:ind w:left="108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3.Придбання безтіньової лампи в відділенні загальної хірургії (операційний блок) – 2 одиниці</w:t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15,0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ind w:left="1080" w:hanging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300,0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Покращення автомобільного парку в лікарні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jc w:val="both"/>
              <w:rPr/>
            </w:pPr>
            <w:r>
              <w:rPr/>
              <w:t>Придбання автомобіля для лікарні (</w:t>
            </w:r>
            <w:r>
              <w:rPr>
                <w:lang w:val="en-US"/>
              </w:rPr>
              <w:t>PENAULT</w:t>
            </w:r>
            <w:r>
              <w:rPr/>
              <w:t xml:space="preserve"> </w:t>
            </w:r>
            <w:r>
              <w:rPr>
                <w:lang w:val="en-US"/>
              </w:rPr>
              <w:t>EXPRESS</w:t>
            </w:r>
            <w:r>
              <w:rPr/>
              <w:t>)</w:t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auto" w:line="276" w:before="0" w:after="120"/>
              <w:jc w:val="left"/>
              <w:rPr/>
            </w:pPr>
            <w:r>
              <w:rPr/>
              <w:t>500,0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auto" w:line="276" w:before="0" w:after="120"/>
              <w:jc w:val="left"/>
              <w:rPr/>
            </w:pPr>
            <w:r>
              <w:rPr/>
              <w:t>30,0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auto" w:line="276" w:before="0" w:after="120"/>
              <w:jc w:val="left"/>
              <w:rPr/>
            </w:pPr>
            <w:r>
              <w:rPr/>
              <w:t>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ind w:left="1440" w:hanging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Створення умов для ефективного функціонування лікарні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1.Оплата комунальних послуг та енергоносіїв:</w:t>
            </w:r>
          </w:p>
          <w:p>
            <w:pPr>
              <w:pStyle w:val="ListParagraph"/>
              <w:spacing w:lineRule="auto" w:line="240" w:before="0" w:after="0"/>
              <w:ind w:left="144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-теплопостачання</w:t>
            </w:r>
          </w:p>
          <w:p>
            <w:pPr>
              <w:pStyle w:val="ListParagraph"/>
              <w:spacing w:lineRule="auto" w:line="240" w:before="0" w:after="0"/>
              <w:ind w:left="144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-водопостачання та водовідведення</w:t>
            </w:r>
          </w:p>
          <w:p>
            <w:pPr>
              <w:pStyle w:val="ListParagraph"/>
              <w:spacing w:lineRule="auto" w:line="240" w:before="0" w:after="0"/>
              <w:ind w:left="144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-електроенергія</w:t>
            </w:r>
          </w:p>
          <w:p>
            <w:pPr>
              <w:pStyle w:val="ListParagraph"/>
              <w:spacing w:lineRule="auto" w:line="240" w:before="0" w:after="0"/>
              <w:ind w:left="144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-природний газ</w:t>
            </w:r>
          </w:p>
          <w:p>
            <w:pPr>
              <w:pStyle w:val="ListParagraph"/>
              <w:spacing w:lineRule="auto" w:line="240" w:before="0" w:after="0"/>
              <w:ind w:left="144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-інші енергоносії</w:t>
            </w:r>
          </w:p>
          <w:p>
            <w:pPr>
              <w:pStyle w:val="ListParagraph"/>
              <w:spacing w:lineRule="auto" w:line="240" w:before="0" w:after="0"/>
              <w:ind w:left="1440" w:hanging="0"/>
              <w:jc w:val="both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2440,0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700,0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2000,0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2500,0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550,0    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50,0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800,0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500,0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7690,0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1940,0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Пільгова пенсія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1.Виплата пільгової пенсії пенсіонерам лікарні (призначення пенсії за віком на пільгових умовах 3 особи)</w:t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486" w:type="dxa"/>
            <w:tcBorders>
              <w:bottom w:val="nil"/>
              <w:insideH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841" w:type="dxa"/>
            <w:tcBorders>
              <w:bottom w:val="nil"/>
              <w:insideH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3320" w:type="dxa"/>
            <w:tcBorders>
              <w:bottom w:val="nil"/>
              <w:insideH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tcBorders>
              <w:bottom w:val="nil"/>
              <w:insideH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12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12135,9</w:t>
            </w:r>
          </w:p>
        </w:tc>
        <w:tc>
          <w:tcPr>
            <w:tcW w:w="1550" w:type="dxa"/>
            <w:tcBorders>
              <w:bottom w:val="nil"/>
              <w:insideH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12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2235,0</w:t>
            </w:r>
          </w:p>
        </w:tc>
        <w:tc>
          <w:tcPr>
            <w:tcW w:w="1533" w:type="dxa"/>
            <w:tcBorders>
              <w:bottom w:val="nil"/>
              <w:insideH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12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550,0</w:t>
            </w:r>
          </w:p>
        </w:tc>
      </w:tr>
      <w:tr>
        <w:trPr>
          <w:trHeight w:val="70" w:hRule="atLeast"/>
        </w:trPr>
        <w:tc>
          <w:tcPr>
            <w:tcW w:w="486" w:type="dxa"/>
            <w:tcBorders>
              <w:top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841" w:type="dxa"/>
            <w:tcBorders>
              <w:top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320" w:type="dxa"/>
            <w:tcBorders>
              <w:top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4" w:type="dxa"/>
            <w:tcBorders>
              <w:top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50" w:type="dxa"/>
            <w:tcBorders>
              <w:top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33" w:type="dxa"/>
            <w:tcBorders>
              <w:top w:val="nil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486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41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32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4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50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33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В.о.Директора</w:t>
      </w:r>
    </w:p>
    <w:p>
      <w:pPr>
        <w:pStyle w:val="Normal"/>
        <w:tabs>
          <w:tab w:val="left" w:pos="6405" w:leader="none"/>
        </w:tabs>
        <w:spacing w:lineRule="auto" w:line="240" w:before="0" w:after="0"/>
        <w:ind w:firstLine="5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КНП «Каховська ЦМЛ ім.Панкеєвих»</w:t>
        <w:tab/>
        <w:t>Андрій Федотов</w:t>
      </w:r>
    </w:p>
    <w:p>
      <w:pPr>
        <w:pStyle w:val="Normal"/>
        <w:tabs>
          <w:tab w:val="left" w:pos="6405" w:leader="none"/>
        </w:tabs>
        <w:spacing w:lineRule="auto" w:line="240" w:before="0" w:after="0"/>
        <w:ind w:firstLine="56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</w:t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312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            </w:t>
      </w:r>
    </w:p>
    <w:p>
      <w:pPr>
        <w:pStyle w:val="Normal"/>
        <w:widowControl w:val="false"/>
        <w:tabs>
          <w:tab w:val="left" w:pos="6615" w:leader="none"/>
        </w:tabs>
        <w:spacing w:lineRule="auto" w:line="312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ab/>
        <w:t xml:space="preserve">          </w:t>
      </w:r>
    </w:p>
    <w:sectPr>
      <w:headerReference w:type="default" r:id="rId2"/>
      <w:footerReference w:type="default" r:id="rId3"/>
      <w:type w:val="nextPage"/>
      <w:pgSz w:w="12240" w:h="15840"/>
      <w:pgMar w:left="1701" w:right="850" w:header="708" w:top="1134" w:footer="708" w:bottom="851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  <w:font w:name="Times New Roman">
    <w:charset w:val="01"/>
    <w:family w:val="roman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677" w:leader="none"/>
        <w:tab w:val="right" w:pos="9355" w:leader="none"/>
      </w:tabs>
      <w:spacing w:lineRule="auto" w:line="240" w:before="0" w:after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Normal"/>
      <w:tabs>
        <w:tab w:val="center" w:pos="4677" w:leader="none"/>
        <w:tab w:val="right" w:pos="9355" w:leader="none"/>
      </w:tabs>
      <w:spacing w:lineRule="auto" w:line="240" w:before="0" w:after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sz w:val="28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rFonts w:cs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sz w:val="28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rFonts w:cs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8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uk-UA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5695"/>
    <w:pPr>
      <w:widowControl/>
      <w:bidi w:val="0"/>
      <w:spacing w:lineRule="auto" w:line="276" w:before="0" w:after="120"/>
      <w:jc w:val="left"/>
    </w:pPr>
    <w:rPr>
      <w:rFonts w:ascii="Calibri" w:hAnsi="Calibri" w:eastAsia="Calibri" w:cs="Calibri"/>
      <w:color w:val="00000A"/>
      <w:sz w:val="22"/>
      <w:szCs w:val="22"/>
      <w:lang w:val="uk-UA" w:eastAsia="ru-RU" w:bidi="ar-SA"/>
    </w:rPr>
  </w:style>
  <w:style w:type="paragraph" w:styleId="1">
    <w:name w:val="Heading 1"/>
    <w:basedOn w:val="Normal"/>
    <w:qFormat/>
    <w:rsid w:val="00da56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qFormat/>
    <w:rsid w:val="00da56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qFormat/>
    <w:rsid w:val="00da56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qFormat/>
    <w:rsid w:val="00da56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qFormat/>
    <w:rsid w:val="00da569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qFormat/>
    <w:rsid w:val="00da56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uiPriority w:val="99"/>
    <w:semiHidden/>
    <w:qFormat/>
    <w:rsid w:val="00181898"/>
    <w:rPr>
      <w:rFonts w:ascii="Segoe UI" w:hAnsi="Segoe UI" w:cs="Segoe UI"/>
      <w:sz w:val="18"/>
      <w:szCs w:val="18"/>
    </w:rPr>
  </w:style>
  <w:style w:type="character" w:styleId="ListLabel1" w:customStyle="1">
    <w:name w:val="ListLabel 1"/>
    <w:qFormat/>
    <w:rPr>
      <w:rFonts w:ascii="Times New Roman" w:hAnsi="Times New Roman" w:eastAsia="Noto Sans Symbols" w:cs="Noto Sans Symbols"/>
      <w:sz w:val="28"/>
    </w:rPr>
  </w:style>
  <w:style w:type="character" w:styleId="ListLabel2" w:customStyle="1">
    <w:name w:val="ListLabel 2"/>
    <w:qFormat/>
    <w:rPr>
      <w:rFonts w:eastAsia="Courier New" w:cs="Courier New"/>
    </w:rPr>
  </w:style>
  <w:style w:type="character" w:styleId="ListLabel3" w:customStyle="1">
    <w:name w:val="ListLabel 3"/>
    <w:qFormat/>
    <w:rPr>
      <w:rFonts w:eastAsia="Noto Sans Symbols" w:cs="Noto Sans Symbols"/>
    </w:rPr>
  </w:style>
  <w:style w:type="character" w:styleId="ListLabel4" w:customStyle="1">
    <w:name w:val="ListLabel 4"/>
    <w:qFormat/>
    <w:rPr>
      <w:rFonts w:eastAsia="Noto Sans Symbols" w:cs="Noto Sans Symbols"/>
    </w:rPr>
  </w:style>
  <w:style w:type="character" w:styleId="ListLabel5" w:customStyle="1">
    <w:name w:val="ListLabel 5"/>
    <w:qFormat/>
    <w:rPr>
      <w:rFonts w:eastAsia="Courier New" w:cs="Courier New"/>
    </w:rPr>
  </w:style>
  <w:style w:type="character" w:styleId="ListLabel6" w:customStyle="1">
    <w:name w:val="ListLabel 6"/>
    <w:qFormat/>
    <w:rPr>
      <w:rFonts w:eastAsia="Noto Sans Symbols" w:cs="Noto Sans Symbols"/>
    </w:rPr>
  </w:style>
  <w:style w:type="character" w:styleId="ListLabel7" w:customStyle="1">
    <w:name w:val="ListLabel 7"/>
    <w:qFormat/>
    <w:rPr>
      <w:rFonts w:eastAsia="Noto Sans Symbols" w:cs="Noto Sans Symbols"/>
    </w:rPr>
  </w:style>
  <w:style w:type="character" w:styleId="ListLabel8" w:customStyle="1">
    <w:name w:val="ListLabel 8"/>
    <w:qFormat/>
    <w:rPr>
      <w:rFonts w:eastAsia="Courier New" w:cs="Courier New"/>
    </w:rPr>
  </w:style>
  <w:style w:type="character" w:styleId="ListLabel9" w:customStyle="1">
    <w:name w:val="ListLabel 9"/>
    <w:qFormat/>
    <w:rPr>
      <w:rFonts w:eastAsia="Noto Sans Symbols" w:cs="Noto Sans Symbols"/>
    </w:rPr>
  </w:style>
  <w:style w:type="character" w:styleId="ListLabel10" w:customStyle="1">
    <w:name w:val="ListLabel 10"/>
    <w:qFormat/>
    <w:rPr>
      <w:rFonts w:ascii="Times New Roman" w:hAnsi="Times New Roman" w:eastAsia="Noto Sans Symbols" w:cs="Noto Sans Symbols"/>
      <w:sz w:val="28"/>
    </w:rPr>
  </w:style>
  <w:style w:type="character" w:styleId="ListLabel11" w:customStyle="1">
    <w:name w:val="ListLabel 11"/>
    <w:qFormat/>
    <w:rPr>
      <w:rFonts w:eastAsia="Courier New" w:cs="Courier New"/>
    </w:rPr>
  </w:style>
  <w:style w:type="character" w:styleId="ListLabel12" w:customStyle="1">
    <w:name w:val="ListLabel 12"/>
    <w:qFormat/>
    <w:rPr>
      <w:rFonts w:eastAsia="Noto Sans Symbols" w:cs="Noto Sans Symbols"/>
    </w:rPr>
  </w:style>
  <w:style w:type="character" w:styleId="ListLabel13" w:customStyle="1">
    <w:name w:val="ListLabel 13"/>
    <w:qFormat/>
    <w:rPr>
      <w:rFonts w:eastAsia="Noto Sans Symbols" w:cs="Noto Sans Symbols"/>
    </w:rPr>
  </w:style>
  <w:style w:type="character" w:styleId="ListLabel14" w:customStyle="1">
    <w:name w:val="ListLabel 14"/>
    <w:qFormat/>
    <w:rPr>
      <w:rFonts w:eastAsia="Courier New" w:cs="Courier New"/>
    </w:rPr>
  </w:style>
  <w:style w:type="character" w:styleId="ListLabel15" w:customStyle="1">
    <w:name w:val="ListLabel 15"/>
    <w:qFormat/>
    <w:rPr>
      <w:rFonts w:eastAsia="Noto Sans Symbols" w:cs="Noto Sans Symbols"/>
    </w:rPr>
  </w:style>
  <w:style w:type="character" w:styleId="ListLabel16" w:customStyle="1">
    <w:name w:val="ListLabel 16"/>
    <w:qFormat/>
    <w:rPr>
      <w:rFonts w:eastAsia="Noto Sans Symbols" w:cs="Noto Sans Symbols"/>
    </w:rPr>
  </w:style>
  <w:style w:type="character" w:styleId="ListLabel17" w:customStyle="1">
    <w:name w:val="ListLabel 17"/>
    <w:qFormat/>
    <w:rPr>
      <w:rFonts w:eastAsia="Courier New" w:cs="Courier New"/>
    </w:rPr>
  </w:style>
  <w:style w:type="character" w:styleId="ListLabel18" w:customStyle="1">
    <w:name w:val="ListLabel 18"/>
    <w:qFormat/>
    <w:rPr>
      <w:rFonts w:eastAsia="Noto Sans Symbols" w:cs="Noto Sans Symbols"/>
    </w:rPr>
  </w:style>
  <w:style w:type="character" w:styleId="ListLabel19" w:customStyle="1">
    <w:name w:val="ListLabel 19"/>
    <w:qFormat/>
    <w:rPr>
      <w:rFonts w:ascii="Times New Roman" w:hAnsi="Times New Roman" w:eastAsia="Times New Roman" w:cs="Times New Roman"/>
      <w:sz w:val="28"/>
    </w:rPr>
  </w:style>
  <w:style w:type="character" w:styleId="ListLabel20" w:customStyle="1">
    <w:name w:val="ListLabel 20"/>
    <w:qFormat/>
    <w:rPr>
      <w:rFonts w:cs="Courier New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Courier New"/>
    </w:rPr>
  </w:style>
  <w:style w:type="character" w:styleId="ListLabel23" w:customStyle="1">
    <w:name w:val="ListLabel 23"/>
    <w:qFormat/>
    <w:rPr>
      <w:rFonts w:cs="Courier New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Courier New"/>
    </w:rPr>
  </w:style>
  <w:style w:type="character" w:styleId="ListLabel26" w:customStyle="1">
    <w:name w:val="ListLabel 26"/>
    <w:qFormat/>
    <w:rPr>
      <w:rFonts w:ascii="Times New Roman" w:hAnsi="Times New Roman" w:cs="Noto Sans Symbols"/>
      <w:sz w:val="28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Noto Sans Symbols"/>
    </w:rPr>
  </w:style>
  <w:style w:type="character" w:styleId="ListLabel29" w:customStyle="1">
    <w:name w:val="ListLabel 29"/>
    <w:qFormat/>
    <w:rPr>
      <w:rFonts w:cs="Noto Sans Symbols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Noto Sans Symbols"/>
    </w:rPr>
  </w:style>
  <w:style w:type="character" w:styleId="ListLabel32" w:customStyle="1">
    <w:name w:val="ListLabel 32"/>
    <w:qFormat/>
    <w:rPr>
      <w:rFonts w:cs="Noto Sans Symbols"/>
    </w:rPr>
  </w:style>
  <w:style w:type="character" w:styleId="ListLabel33" w:customStyle="1">
    <w:name w:val="ListLabel 33"/>
    <w:qFormat/>
    <w:rPr>
      <w:rFonts w:cs="Courier New"/>
    </w:rPr>
  </w:style>
  <w:style w:type="character" w:styleId="ListLabel34" w:customStyle="1">
    <w:name w:val="ListLabel 34"/>
    <w:qFormat/>
    <w:rPr>
      <w:rFonts w:cs="Noto Sans Symbols"/>
    </w:rPr>
  </w:style>
  <w:style w:type="character" w:styleId="ListLabel35" w:customStyle="1">
    <w:name w:val="ListLabel 35"/>
    <w:qFormat/>
    <w:rPr>
      <w:rFonts w:ascii="Times New Roman" w:hAnsi="Times New Roman" w:cs="Noto Sans Symbols"/>
      <w:sz w:val="28"/>
    </w:rPr>
  </w:style>
  <w:style w:type="character" w:styleId="ListLabel36" w:customStyle="1">
    <w:name w:val="ListLabel 36"/>
    <w:qFormat/>
    <w:rPr>
      <w:rFonts w:cs="Courier New"/>
    </w:rPr>
  </w:style>
  <w:style w:type="character" w:styleId="ListLabel37" w:customStyle="1">
    <w:name w:val="ListLabel 37"/>
    <w:qFormat/>
    <w:rPr>
      <w:rFonts w:cs="Noto Sans Symbols"/>
    </w:rPr>
  </w:style>
  <w:style w:type="character" w:styleId="ListLabel38" w:customStyle="1">
    <w:name w:val="ListLabel 38"/>
    <w:qFormat/>
    <w:rPr>
      <w:rFonts w:cs="Noto Sans Symbols"/>
    </w:rPr>
  </w:style>
  <w:style w:type="character" w:styleId="ListLabel39" w:customStyle="1">
    <w:name w:val="ListLabel 39"/>
    <w:qFormat/>
    <w:rPr>
      <w:rFonts w:cs="Courier New"/>
    </w:rPr>
  </w:style>
  <w:style w:type="character" w:styleId="ListLabel40" w:customStyle="1">
    <w:name w:val="ListLabel 40"/>
    <w:qFormat/>
    <w:rPr>
      <w:rFonts w:cs="Noto Sans Symbols"/>
    </w:rPr>
  </w:style>
  <w:style w:type="character" w:styleId="ListLabel41" w:customStyle="1">
    <w:name w:val="ListLabel 41"/>
    <w:qFormat/>
    <w:rPr>
      <w:rFonts w:cs="Noto Sans Symbols"/>
    </w:rPr>
  </w:style>
  <w:style w:type="character" w:styleId="ListLabel42" w:customStyle="1">
    <w:name w:val="ListLabel 42"/>
    <w:qFormat/>
    <w:rPr>
      <w:rFonts w:cs="Courier New"/>
    </w:rPr>
  </w:style>
  <w:style w:type="character" w:styleId="ListLabel43" w:customStyle="1">
    <w:name w:val="ListLabel 43"/>
    <w:qFormat/>
    <w:rPr>
      <w:rFonts w:cs="Noto Sans Symbols"/>
    </w:rPr>
  </w:style>
  <w:style w:type="character" w:styleId="ListLabel44" w:customStyle="1">
    <w:name w:val="ListLabel 44"/>
    <w:qFormat/>
    <w:rPr>
      <w:rFonts w:ascii="Times New Roman" w:hAnsi="Times New Roman" w:cs="Times New Roman"/>
      <w:sz w:val="28"/>
    </w:rPr>
  </w:style>
  <w:style w:type="character" w:styleId="ListLabel45" w:customStyle="1">
    <w:name w:val="ListLabel 45"/>
    <w:qFormat/>
    <w:rPr>
      <w:rFonts w:cs="Courier New"/>
    </w:rPr>
  </w:style>
  <w:style w:type="character" w:styleId="ListLabel46" w:customStyle="1">
    <w:name w:val="ListLabel 46"/>
    <w:qFormat/>
    <w:rPr>
      <w:rFonts w:cs="Wingdings"/>
    </w:rPr>
  </w:style>
  <w:style w:type="character" w:styleId="ListLabel47" w:customStyle="1">
    <w:name w:val="ListLabel 47"/>
    <w:qFormat/>
    <w:rPr>
      <w:rFonts w:cs="Symbol"/>
    </w:rPr>
  </w:style>
  <w:style w:type="character" w:styleId="ListLabel48" w:customStyle="1">
    <w:name w:val="ListLabel 48"/>
    <w:qFormat/>
    <w:rPr>
      <w:rFonts w:cs="Courier New"/>
    </w:rPr>
  </w:style>
  <w:style w:type="character" w:styleId="ListLabel49" w:customStyle="1">
    <w:name w:val="ListLabel 49"/>
    <w:qFormat/>
    <w:rPr>
      <w:rFonts w:cs="Wingdings"/>
    </w:rPr>
  </w:style>
  <w:style w:type="character" w:styleId="ListLabel50" w:customStyle="1">
    <w:name w:val="ListLabel 50"/>
    <w:qFormat/>
    <w:rPr>
      <w:rFonts w:cs="Symbol"/>
    </w:rPr>
  </w:style>
  <w:style w:type="character" w:styleId="ListLabel51" w:customStyle="1">
    <w:name w:val="ListLabel 51"/>
    <w:qFormat/>
    <w:rPr>
      <w:rFonts w:cs="Courier New"/>
    </w:rPr>
  </w:style>
  <w:style w:type="character" w:styleId="ListLabel52" w:customStyle="1">
    <w:name w:val="ListLabel 52"/>
    <w:qFormat/>
    <w:rPr>
      <w:rFonts w:cs="Wingdings"/>
    </w:rPr>
  </w:style>
  <w:style w:type="character" w:styleId="ListLabel53" w:customStyle="1">
    <w:name w:val="ListLabel 53"/>
    <w:qFormat/>
    <w:rPr>
      <w:rFonts w:ascii="Times New Roman" w:hAnsi="Times New Roman" w:cs="Symbol"/>
      <w:sz w:val="24"/>
    </w:rPr>
  </w:style>
  <w:style w:type="character" w:styleId="ListLabel54" w:customStyle="1">
    <w:name w:val="ListLabel 54"/>
    <w:qFormat/>
    <w:rPr>
      <w:rFonts w:cs="Courier New"/>
    </w:rPr>
  </w:style>
  <w:style w:type="character" w:styleId="ListLabel55" w:customStyle="1">
    <w:name w:val="ListLabel 55"/>
    <w:qFormat/>
    <w:rPr>
      <w:rFonts w:cs="Wingdings"/>
    </w:rPr>
  </w:style>
  <w:style w:type="character" w:styleId="ListLabel56" w:customStyle="1">
    <w:name w:val="ListLabel 56"/>
    <w:qFormat/>
    <w:rPr>
      <w:rFonts w:cs="Symbol"/>
    </w:rPr>
  </w:style>
  <w:style w:type="character" w:styleId="ListLabel57" w:customStyle="1">
    <w:name w:val="ListLabel 57"/>
    <w:qFormat/>
    <w:rPr>
      <w:rFonts w:cs="Courier New"/>
    </w:rPr>
  </w:style>
  <w:style w:type="character" w:styleId="ListLabel58" w:customStyle="1">
    <w:name w:val="ListLabel 58"/>
    <w:qFormat/>
    <w:rPr>
      <w:rFonts w:cs="Wingdings"/>
    </w:rPr>
  </w:style>
  <w:style w:type="character" w:styleId="ListLabel59" w:customStyle="1">
    <w:name w:val="ListLabel 59"/>
    <w:qFormat/>
    <w:rPr>
      <w:rFonts w:cs="Symbol"/>
    </w:rPr>
  </w:style>
  <w:style w:type="character" w:styleId="ListLabel60" w:customStyle="1">
    <w:name w:val="ListLabel 60"/>
    <w:qFormat/>
    <w:rPr>
      <w:rFonts w:cs="Courier New"/>
    </w:rPr>
  </w:style>
  <w:style w:type="character" w:styleId="ListLabel61" w:customStyle="1">
    <w:name w:val="ListLabel 61"/>
    <w:qFormat/>
    <w:rPr>
      <w:rFonts w:cs="Wingdings"/>
    </w:rPr>
  </w:style>
  <w:style w:type="character" w:styleId="ListLabel62" w:customStyle="1">
    <w:name w:val="ListLabel 62"/>
    <w:qFormat/>
    <w:rPr>
      <w:rFonts w:ascii="Times New Roman" w:hAnsi="Times New Roman" w:cs="Noto Sans Symbols"/>
      <w:sz w:val="28"/>
    </w:rPr>
  </w:style>
  <w:style w:type="character" w:styleId="ListLabel63" w:customStyle="1">
    <w:name w:val="ListLabel 63"/>
    <w:qFormat/>
    <w:rPr>
      <w:rFonts w:cs="Courier New"/>
    </w:rPr>
  </w:style>
  <w:style w:type="character" w:styleId="ListLabel64" w:customStyle="1">
    <w:name w:val="ListLabel 64"/>
    <w:qFormat/>
    <w:rPr>
      <w:rFonts w:cs="Noto Sans Symbols"/>
    </w:rPr>
  </w:style>
  <w:style w:type="character" w:styleId="ListLabel65" w:customStyle="1">
    <w:name w:val="ListLabel 65"/>
    <w:qFormat/>
    <w:rPr>
      <w:rFonts w:cs="Noto Sans Symbols"/>
    </w:rPr>
  </w:style>
  <w:style w:type="character" w:styleId="ListLabel66" w:customStyle="1">
    <w:name w:val="ListLabel 66"/>
    <w:qFormat/>
    <w:rPr>
      <w:rFonts w:cs="Courier New"/>
    </w:rPr>
  </w:style>
  <w:style w:type="character" w:styleId="ListLabel67" w:customStyle="1">
    <w:name w:val="ListLabel 67"/>
    <w:qFormat/>
    <w:rPr>
      <w:rFonts w:cs="Noto Sans Symbols"/>
    </w:rPr>
  </w:style>
  <w:style w:type="character" w:styleId="ListLabel68" w:customStyle="1">
    <w:name w:val="ListLabel 68"/>
    <w:qFormat/>
    <w:rPr>
      <w:rFonts w:cs="Noto Sans Symbols"/>
    </w:rPr>
  </w:style>
  <w:style w:type="character" w:styleId="ListLabel69" w:customStyle="1">
    <w:name w:val="ListLabel 69"/>
    <w:qFormat/>
    <w:rPr>
      <w:rFonts w:cs="Courier New"/>
    </w:rPr>
  </w:style>
  <w:style w:type="character" w:styleId="ListLabel70" w:customStyle="1">
    <w:name w:val="ListLabel 70"/>
    <w:qFormat/>
    <w:rPr>
      <w:rFonts w:cs="Noto Sans Symbols"/>
    </w:rPr>
  </w:style>
  <w:style w:type="character" w:styleId="ListLabel71" w:customStyle="1">
    <w:name w:val="ListLabel 71"/>
    <w:qFormat/>
    <w:rPr>
      <w:rFonts w:ascii="Times New Roman" w:hAnsi="Times New Roman" w:cs="Noto Sans Symbols"/>
      <w:sz w:val="28"/>
    </w:rPr>
  </w:style>
  <w:style w:type="character" w:styleId="ListLabel72" w:customStyle="1">
    <w:name w:val="ListLabel 72"/>
    <w:qFormat/>
    <w:rPr>
      <w:rFonts w:cs="Courier New"/>
    </w:rPr>
  </w:style>
  <w:style w:type="character" w:styleId="ListLabel73" w:customStyle="1">
    <w:name w:val="ListLabel 73"/>
    <w:qFormat/>
    <w:rPr>
      <w:rFonts w:cs="Noto Sans Symbols"/>
    </w:rPr>
  </w:style>
  <w:style w:type="character" w:styleId="ListLabel74" w:customStyle="1">
    <w:name w:val="ListLabel 74"/>
    <w:qFormat/>
    <w:rPr>
      <w:rFonts w:cs="Noto Sans Symbols"/>
    </w:rPr>
  </w:style>
  <w:style w:type="character" w:styleId="ListLabel75" w:customStyle="1">
    <w:name w:val="ListLabel 75"/>
    <w:qFormat/>
    <w:rPr>
      <w:rFonts w:cs="Courier New"/>
    </w:rPr>
  </w:style>
  <w:style w:type="character" w:styleId="ListLabel76" w:customStyle="1">
    <w:name w:val="ListLabel 76"/>
    <w:qFormat/>
    <w:rPr>
      <w:rFonts w:cs="Noto Sans Symbols"/>
    </w:rPr>
  </w:style>
  <w:style w:type="character" w:styleId="ListLabel77" w:customStyle="1">
    <w:name w:val="ListLabel 77"/>
    <w:qFormat/>
    <w:rPr>
      <w:rFonts w:cs="Noto Sans Symbols"/>
    </w:rPr>
  </w:style>
  <w:style w:type="character" w:styleId="ListLabel78" w:customStyle="1">
    <w:name w:val="ListLabel 78"/>
    <w:qFormat/>
    <w:rPr>
      <w:rFonts w:cs="Courier New"/>
    </w:rPr>
  </w:style>
  <w:style w:type="character" w:styleId="ListLabel79" w:customStyle="1">
    <w:name w:val="ListLabel 79"/>
    <w:qFormat/>
    <w:rPr>
      <w:rFonts w:cs="Noto Sans Symbols"/>
    </w:rPr>
  </w:style>
  <w:style w:type="character" w:styleId="ListLabel80" w:customStyle="1">
    <w:name w:val="ListLabel 80"/>
    <w:qFormat/>
    <w:rPr>
      <w:rFonts w:ascii="Times New Roman" w:hAnsi="Times New Roman" w:cs="Times New Roman"/>
      <w:sz w:val="28"/>
    </w:rPr>
  </w:style>
  <w:style w:type="character" w:styleId="ListLabel81" w:customStyle="1">
    <w:name w:val="ListLabel 81"/>
    <w:qFormat/>
    <w:rPr>
      <w:rFonts w:cs="Courier New"/>
    </w:rPr>
  </w:style>
  <w:style w:type="character" w:styleId="ListLabel82" w:customStyle="1">
    <w:name w:val="ListLabel 82"/>
    <w:qFormat/>
    <w:rPr>
      <w:rFonts w:cs="Wingdings"/>
    </w:rPr>
  </w:style>
  <w:style w:type="character" w:styleId="ListLabel83" w:customStyle="1">
    <w:name w:val="ListLabel 83"/>
    <w:qFormat/>
    <w:rPr>
      <w:rFonts w:cs="Symbol"/>
    </w:rPr>
  </w:style>
  <w:style w:type="character" w:styleId="ListLabel84" w:customStyle="1">
    <w:name w:val="ListLabel 84"/>
    <w:qFormat/>
    <w:rPr>
      <w:rFonts w:cs="Courier New"/>
    </w:rPr>
  </w:style>
  <w:style w:type="character" w:styleId="ListLabel85" w:customStyle="1">
    <w:name w:val="ListLabel 85"/>
    <w:qFormat/>
    <w:rPr>
      <w:rFonts w:cs="Wingdings"/>
    </w:rPr>
  </w:style>
  <w:style w:type="character" w:styleId="ListLabel86" w:customStyle="1">
    <w:name w:val="ListLabel 86"/>
    <w:qFormat/>
    <w:rPr>
      <w:rFonts w:cs="Symbol"/>
    </w:rPr>
  </w:style>
  <w:style w:type="character" w:styleId="ListLabel87" w:customStyle="1">
    <w:name w:val="ListLabel 87"/>
    <w:qFormat/>
    <w:rPr>
      <w:rFonts w:cs="Courier New"/>
    </w:rPr>
  </w:style>
  <w:style w:type="character" w:styleId="ListLabel88" w:customStyle="1">
    <w:name w:val="ListLabel 88"/>
    <w:qFormat/>
    <w:rPr>
      <w:rFonts w:cs="Wingdings"/>
    </w:rPr>
  </w:style>
  <w:style w:type="character" w:styleId="ListLabel89" w:customStyle="1">
    <w:name w:val="ListLabel 89"/>
    <w:qFormat/>
    <w:rPr>
      <w:rFonts w:cs="Symbol"/>
      <w:sz w:val="24"/>
    </w:rPr>
  </w:style>
  <w:style w:type="character" w:styleId="ListLabel90" w:customStyle="1">
    <w:name w:val="ListLabel 90"/>
    <w:qFormat/>
    <w:rPr>
      <w:rFonts w:cs="Courier New"/>
    </w:rPr>
  </w:style>
  <w:style w:type="character" w:styleId="ListLabel91" w:customStyle="1">
    <w:name w:val="ListLabel 91"/>
    <w:qFormat/>
    <w:rPr>
      <w:rFonts w:cs="Wingdings"/>
    </w:rPr>
  </w:style>
  <w:style w:type="character" w:styleId="ListLabel92" w:customStyle="1">
    <w:name w:val="ListLabel 92"/>
    <w:qFormat/>
    <w:rPr>
      <w:rFonts w:cs="Symbol"/>
    </w:rPr>
  </w:style>
  <w:style w:type="character" w:styleId="ListLabel93" w:customStyle="1">
    <w:name w:val="ListLabel 93"/>
    <w:qFormat/>
    <w:rPr>
      <w:rFonts w:cs="Courier New"/>
    </w:rPr>
  </w:style>
  <w:style w:type="character" w:styleId="ListLabel94" w:customStyle="1">
    <w:name w:val="ListLabel 94"/>
    <w:qFormat/>
    <w:rPr>
      <w:rFonts w:cs="Wingdings"/>
    </w:rPr>
  </w:style>
  <w:style w:type="character" w:styleId="ListLabel95" w:customStyle="1">
    <w:name w:val="ListLabel 95"/>
    <w:qFormat/>
    <w:rPr>
      <w:rFonts w:cs="Symbol"/>
    </w:rPr>
  </w:style>
  <w:style w:type="character" w:styleId="ListLabel96" w:customStyle="1">
    <w:name w:val="ListLabel 96"/>
    <w:qFormat/>
    <w:rPr>
      <w:rFonts w:cs="Courier New"/>
    </w:rPr>
  </w:style>
  <w:style w:type="character" w:styleId="ListLabel97" w:customStyle="1">
    <w:name w:val="ListLabel 97"/>
    <w:qFormat/>
    <w:rPr>
      <w:rFonts w:cs="Wingdings"/>
    </w:rPr>
  </w:style>
  <w:style w:type="character" w:styleId="ListLabel98">
    <w:name w:val="ListLabel 98"/>
    <w:qFormat/>
    <w:rPr>
      <w:rFonts w:ascii="Times New Roman" w:hAnsi="Times New Roman" w:cs="Noto Sans Symbols"/>
      <w:sz w:val="28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Noto Sans Symbols"/>
    </w:rPr>
  </w:style>
  <w:style w:type="character" w:styleId="ListLabel101">
    <w:name w:val="ListLabel 101"/>
    <w:qFormat/>
    <w:rPr>
      <w:rFonts w:cs="Noto Sans Symbols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Noto Sans Symbols"/>
    </w:rPr>
  </w:style>
  <w:style w:type="character" w:styleId="ListLabel104">
    <w:name w:val="ListLabel 104"/>
    <w:qFormat/>
    <w:rPr>
      <w:rFonts w:cs="Noto Sans Symbols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Noto Sans Symbols"/>
    </w:rPr>
  </w:style>
  <w:style w:type="character" w:styleId="ListLabel107">
    <w:name w:val="ListLabel 107"/>
    <w:qFormat/>
    <w:rPr>
      <w:rFonts w:ascii="Times New Roman" w:hAnsi="Times New Roman" w:cs="Noto Sans Symbols"/>
      <w:sz w:val="28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Noto Sans Symbols"/>
    </w:rPr>
  </w:style>
  <w:style w:type="character" w:styleId="ListLabel110">
    <w:name w:val="ListLabel 110"/>
    <w:qFormat/>
    <w:rPr>
      <w:rFonts w:cs="Noto Sans Symbols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Noto Sans Symbols"/>
    </w:rPr>
  </w:style>
  <w:style w:type="character" w:styleId="ListLabel113">
    <w:name w:val="ListLabel 113"/>
    <w:qFormat/>
    <w:rPr>
      <w:rFonts w:cs="Noto Sans Symbols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Noto Sans Symbols"/>
    </w:rPr>
  </w:style>
  <w:style w:type="character" w:styleId="ListLabel116">
    <w:name w:val="ListLabel 116"/>
    <w:qFormat/>
    <w:rPr>
      <w:rFonts w:ascii="Times New Roman" w:hAnsi="Times New Roman" w:cs="Times New Roman"/>
      <w:sz w:val="28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cs="Symbol"/>
      <w:sz w:val="24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paragraph" w:styleId="Style9">
    <w:name w:val="Заголовок"/>
    <w:basedOn w:val="Normal"/>
    <w:next w:val="Style10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0">
    <w:name w:val="Body Text"/>
    <w:basedOn w:val="Normal"/>
    <w:pPr>
      <w:spacing w:lineRule="auto" w:line="288" w:before="0" w:after="140"/>
    </w:pPr>
    <w:rPr/>
  </w:style>
  <w:style w:type="paragraph" w:styleId="Style11">
    <w:name w:val="List"/>
    <w:basedOn w:val="Style10"/>
    <w:pPr/>
    <w:rPr>
      <w:rFonts w:cs="Free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FreeSans"/>
    </w:rPr>
  </w:style>
  <w:style w:type="paragraph" w:styleId="Style14">
    <w:name w:val="Title"/>
    <w:basedOn w:val="Normal"/>
    <w:qFormat/>
    <w:rsid w:val="00da5695"/>
    <w:pPr>
      <w:keepNext/>
      <w:keepLines/>
      <w:spacing w:before="480" w:after="120"/>
    </w:pPr>
    <w:rPr>
      <w:b/>
      <w:sz w:val="72"/>
      <w:szCs w:val="7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Style15">
    <w:name w:val="Subtitle"/>
    <w:basedOn w:val="Normal"/>
    <w:qFormat/>
    <w:rsid w:val="00da5695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064c29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18189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6">
    <w:name w:val="Header"/>
    <w:basedOn w:val="Normal"/>
    <w:pPr/>
    <w:rPr/>
  </w:style>
  <w:style w:type="paragraph" w:styleId="Style17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da5695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39"/>
    <w:rsid w:val="006c097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LibreOffice/5.1.6.2$Linux_x86 LibreOffice_project/10m0$Build-2</Application>
  <Pages>7</Pages>
  <Words>1258</Words>
  <Characters>8870</Characters>
  <CharactersWithSpaces>11175</CharactersWithSpaces>
  <Paragraphs>195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2021-11-19T09:09:00Z</dcterms:created>
  <dc:creator>User</dc:creator>
  <dc:description/>
  <dc:language>ru-RU</dc:language>
  <cp:lastModifiedBy/>
  <cp:lastPrinted>2021-11-24T09:08:00Z</cp:lastPrinted>
  <dcterms:modified xsi:type="dcterms:W3CDTF">2021-11-29T13:13:09Z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