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drawing>
            <wp:inline distT="0" distB="0" distL="0" distR="0">
              <wp:extent cx="542925" cy="6838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42925" cy="6838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____62______ сесії ___VII______ скликання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0" w:firstLine="6588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25/10/2018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1338/62</w:t>
            </w:r>
          </w:p>
        </w:tc>
      </w:tr>
    </w:tbl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ради від 2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.12.201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903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49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програму  </w:t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8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20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suppressAutoHyphens w:val="false"/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pPr>
      <w:r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suppressAutoHyphens w:val="false"/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suppressAutoHyphens w:val="false"/>
        <w:ind w:left="0" w:right="-286" w:hanging="0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suppressAutoHyphens w:val="false"/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suppressAutoHyphens w:val="false"/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suppressAutoHyphens w:val="false"/>
        <w:ind w:left="0" w:right="0" w:firstLine="567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до Програми економічного, соціального та культурного розвитку м. Каховки на 2018 рік та прогнозних макропоказників економічного і соціального розвитку міста до 2020 року (далі - Програма), затвердженої рішенням 49 сесії VII скликання Каховської міської ради № 903/49 від 21.12.2017 року, а саме:</w:t>
      </w:r>
    </w:p>
    <w:p>
      <w:pPr>
        <w:pStyle w:val="Normal"/>
        <w:tabs>
          <w:tab w:val="left" w:pos="426" w:leader="none"/>
        </w:tabs>
        <w:suppressAutoHyphens w:val="false"/>
        <w:ind w:left="0" w:right="0" w:firstLine="555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tabs>
          <w:tab w:val="left" w:pos="426" w:leader="none"/>
        </w:tabs>
        <w:suppressAutoHyphens w:val="false"/>
        <w:ind w:left="0" w:right="0" w:firstLine="555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1) доповнити додаток 4 Заходів, затверджених рішенням 49 сесії VІІ скликання Каховської міської ради від 21.12.2017р. № 903/49 наступним пунктами та змістом:</w:t>
      </w:r>
    </w:p>
    <w:p>
      <w:pPr>
        <w:pStyle w:val="Normal"/>
        <w:tabs>
          <w:tab w:val="left" w:pos="426" w:leader="none"/>
        </w:tabs>
        <w:suppressAutoHyphens w:val="false"/>
        <w:ind w:left="0" w:right="0" w:firstLine="555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680"/>
        <w:gridCol w:w="7655"/>
        <w:gridCol w:w="994"/>
      </w:tblGrid>
      <w:tr>
        <w:trPr>
          <w:cantSplit w:val="false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  <w:cantSplit w:val="false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130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Витрати на експертний звіт від філії ДП «Укрдержбудекспертиза» у Херсонській області по коригуванню проектно-кошторисної документації «Реконструкція вулиці Миру в м. Каховка Херсонської області»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10,0</w:t>
            </w:r>
          </w:p>
        </w:tc>
      </w:tr>
    </w:tbl>
    <w:p>
      <w:pPr>
        <w:pStyle w:val="Normal"/>
        <w:tabs>
          <w:tab w:val="left" w:pos="426" w:leader="none"/>
        </w:tabs>
        <w:suppressAutoHyphens w:val="false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tabs>
          <w:tab w:val="left" w:pos="426" w:leader="none"/>
        </w:tabs>
        <w:suppressAutoHyphens w:val="false"/>
        <w:ind w:left="0" w:right="0" w:firstLine="555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2) внести зміни до пункту додатку 4 Заходів, затверджених рішенням 26 сесії VІІ скликання Каховської міської ради від 21.12.2017р. № 903/49, а саме викласти у наступній редакції:</w:t>
      </w:r>
    </w:p>
    <w:p>
      <w:pPr>
        <w:pStyle w:val="Normal"/>
        <w:tabs>
          <w:tab w:val="left" w:pos="426" w:leader="none"/>
        </w:tabs>
        <w:suppressAutoHyphens w:val="false"/>
        <w:ind w:left="0" w:right="0" w:firstLine="555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jc w:val="left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566"/>
        <w:gridCol w:w="7310"/>
        <w:gridCol w:w="14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Реконструкція вул. Миру в м. Каховка Херсонської області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3002,1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техніки для КП «Каховська керуюча компанія»:</w:t>
            </w:r>
          </w:p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пожежна драбина –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9,9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тис. грн;</w:t>
            </w:r>
          </w:p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тример (2 шт.) – 28,0 тис. грн.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37,9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техніки для КП «КТП»: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iCs/>
                <w:color w:val="00000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6"/>
                <w:szCs w:val="26"/>
                <w:lang w:bidi="ar-SA"/>
              </w:rPr>
              <w:t>трактор малогабаритний – 380,9 тис. грн.;</w:t>
            </w:r>
          </w:p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тример (4 шт.) – 100,0 тис. грн.;</w:t>
            </w:r>
          </w:p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ямобур – 20,0 тис. грн.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500,9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78.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ганку ЗОШ:</w:t>
            </w:r>
          </w:p>
          <w:p>
            <w:pPr>
              <w:pStyle w:val="Normal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НВК «Гімназія»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188,9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Співфінансування закупівля комп’ютерного обладнання, відповідного мультимедійного контенту для учнів початкових класів, що навчаються за новими методиками відповідно до Концепції реалізації державної політики у сфері реформування загальної середньої освіти «Нова українська школа» на період до 2029 року, згідно постанови Кабінету Міністрів України від 04.04.2018 р. № 237.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50,9</w:t>
            </w:r>
          </w:p>
        </w:tc>
      </w:tr>
      <w:tr>
        <w:trPr>
          <w:trHeight w:val="169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128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підручників для надання загальної середньої освіти загальноосвітніми навчальними закладами (в т.ч. школою-дитячим садком, інтернатом при школі, спеціалізованими школами, ліцеями, гімназіями, колегіумами)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</w:rPr>
              <w:t>277,0</w:t>
            </w:r>
          </w:p>
        </w:tc>
      </w:tr>
    </w:tbl>
    <w:p>
      <w:pPr>
        <w:pStyle w:val="Normal"/>
        <w:tabs>
          <w:tab w:val="left" w:pos="426" w:leader="none"/>
        </w:tabs>
        <w:suppressAutoHyphens w:val="false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bidi="ar-SA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>2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) внести зміни в Розділи додатку 3 Програми,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bidi="ar-SA"/>
        </w:rPr>
        <w:t xml:space="preserve">а саме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доповнити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bidi="ar-SA"/>
        </w:rPr>
        <w:t xml:space="preserve"> наступним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зм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bidi="ar-SA"/>
        </w:rPr>
        <w:t>істом:</w:t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762"/>
        <w:gridCol w:w="2377"/>
        <w:gridCol w:w="1276"/>
        <w:gridCol w:w="2409"/>
        <w:gridCol w:w="1419"/>
      </w:tblGrid>
      <w:tr>
        <w:trPr>
          <w:trHeight w:val="835" w:hRule="atLeast"/>
          <w:cantSplit w:val="false"/>
        </w:trPr>
        <w:tc>
          <w:tcPr>
            <w:tcW w:w="92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Операційна ціль.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Розвиток туристично - рекреаційного комплексу та охорона культурної спадщини</w:t>
            </w:r>
          </w:p>
        </w:tc>
      </w:tr>
      <w:tr>
        <w:trPr>
          <w:trHeight w:val="1272" w:hRule="atLeast"/>
          <w:cantSplit w:val="false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Завдання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Термін викона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Відповідаль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ні за виконання</w:t>
            </w:r>
          </w:p>
        </w:tc>
      </w:tr>
      <w:tr>
        <w:trPr>
          <w:trHeight w:val="1020" w:hRule="atLeast"/>
          <w:cantSplit w:val="false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Розвиток туристичної інфраструктури міста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Реконструкція Набережної в м.Каховка - 33,6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Протягом року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Отримання технічних умов проектної документації: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 від АТ “Херсонолбленерго” – 28,1 тис.грн. за приєднання електроустановки  30 квт потужності;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виготовлення ситуаційного плану та викопіювання з топографо-геодезичного плану масштабу 1:2000 (для отримання технічних умов на приєднання до електричних мереж)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Виконавчий комітет Каховської міської ради</w:t>
            </w:r>
          </w:p>
        </w:tc>
      </w:tr>
    </w:tbl>
    <w:p>
      <w:pPr>
        <w:pStyle w:val="Normal"/>
        <w:tabs>
          <w:tab w:val="left" w:pos="426" w:leader="none"/>
        </w:tabs>
        <w:suppressAutoHyphens w:val="false"/>
        <w:jc w:val="both"/>
        <w:rPr>
          <w:rFonts w:eastAsia="Times New Roman" w:cs="Times New Roman"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</w:r>
    </w:p>
    <w:p>
      <w:pPr>
        <w:pStyle w:val="Normal"/>
        <w:tabs>
          <w:tab w:val="left" w:pos="426" w:leader="none"/>
        </w:tabs>
        <w:suppressAutoHyphens w:val="false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bidi="ar-S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Орєхова І.М. </w:t>
      </w:r>
    </w:p>
    <w:p>
      <w:pPr>
        <w:pStyle w:val="Normal"/>
        <w:widowControl/>
        <w:tabs>
          <w:tab w:val="left" w:pos="675" w:leader="none"/>
          <w:tab w:val="left" w:pos="720" w:leader="none"/>
        </w:tabs>
        <w:spacing w:before="0" w:after="120"/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widowControl/>
        <w:tabs>
          <w:tab w:val="left" w:pos="675" w:leader="none"/>
          <w:tab w:val="left" w:pos="720" w:leader="none"/>
        </w:tabs>
        <w:spacing w:before="0" w:after="120"/>
        <w:ind w:left="0" w:right="-428" w:hanging="0"/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widowControl/>
        <w:tabs>
          <w:tab w:val="left" w:pos="675" w:leader="none"/>
          <w:tab w:val="left" w:pos="720" w:leader="none"/>
        </w:tabs>
        <w:spacing w:before="0" w:after="120"/>
        <w:ind w:left="0" w:right="-428" w:hanging="0"/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        </w:t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Міський голова                                                                                А.А. Дяченко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80036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Заголовок 3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12" w:customStyle="1">
    <w:name w:val="Текст выноски Знак"/>
    <w:uiPriority w:val="99"/>
    <w:qFormat/>
    <w:semiHidden/>
    <w:link w:val="a4"/>
    <w:rsid w:val="00602864"/>
    <w:basedOn w:val="DefaultParagraphFont"/>
    <w:rPr>
      <w:rFonts w:ascii="Segoe UI" w:hAnsi="Segoe UI" w:eastAsia="Droid Sans Fallback" w:cs="Mangal"/>
      <w:sz w:val="18"/>
      <w:szCs w:val="16"/>
      <w:lang w:val="uk-UA" w:eastAsia="zh-CN" w:bidi="hi-IN"/>
    </w:rPr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Style18" w:customStyle="1">
    <w:name w:val="Содержимое таблицы"/>
    <w:qFormat/>
    <w:rsid w:val="00880036"/>
    <w:basedOn w:val="Normal"/>
    <w:pPr>
      <w:suppressLineNumbers/>
    </w:pPr>
    <w:rPr/>
  </w:style>
  <w:style w:type="paragraph" w:styleId="BalloonText">
    <w:name w:val="Balloon Text"/>
    <w:uiPriority w:val="99"/>
    <w:qFormat/>
    <w:semiHidden/>
    <w:unhideWhenUsed/>
    <w:link w:val="a5"/>
    <w:rsid w:val="00602864"/>
    <w:basedOn w:val="Normal"/>
    <w:pPr/>
    <w:rPr>
      <w:rFonts w:ascii="Segoe UI" w:hAnsi="Segoe UI" w:cs="Mangal"/>
      <w:sz w:val="18"/>
      <w:szCs w:val="16"/>
    </w:rPr>
  </w:style>
  <w:style w:type="paragraph" w:styleId="Style19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2018-10-17T10:59:00Z</dcterms:created>
  <dc:creator>Перемежко</dc:creator>
  <dc:language>ru-RU</dc:language>
  <cp:lastPrinted>2018-10-24T07:57:00Z</cp:lastPrinted>
  <dcterms:modified xsi:type="dcterms:W3CDTF">2018-10-26T09:56:56Z</dcterms:modified>
  <cp:revision>14</cp:revision>
</cp:coreProperties>
</file>