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jc w:val="center"/>
        <w:rPr/>
      </w:pPr>
      <w:r>
        <w:rPr/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0"/>
        <w:jc w:val="left"/>
        <w:rPr>
          <w:b w:val="false"/>
          <w:b w:val="false"/>
          <w:sz w:val="32"/>
        </w:rPr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t xml:space="preserve">____68______ сесії </w:t>
      </w:r>
      <w:r>
        <w:rPr>
          <w:lang w:val="en-US"/>
        </w:rPr>
        <w:t>___VII______</w:t>
      </w:r>
      <w:r>
        <w:rPr/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5"/>
        <w:gridCol w:w="3297"/>
      </w:tblGrid>
      <w:tr>
        <w:trPr/>
        <w:tc>
          <w:tcPr>
            <w:tcW w:w="3293" w:type="dxa"/>
            <w:tcBorders/>
            <w:shd w:fill="auto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/>
            </w:pPr>
            <w:r>
              <w:rPr>
                <w:b w:val="false"/>
                <w:sz w:val="26"/>
              </w:rPr>
              <w:t>20.12.2018 року</w:t>
            </w:r>
          </w:p>
        </w:tc>
        <w:tc>
          <w:tcPr>
            <w:tcW w:w="3295" w:type="dxa"/>
            <w:tcBorders/>
            <w:shd w:fill="auto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297" w:type="dxa"/>
            <w:tcBorders/>
            <w:shd w:fill="auto" w:val="clear"/>
          </w:tcPr>
          <w:p>
            <w:pPr>
              <w:pStyle w:val="Style20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/>
            </w:pPr>
            <w:r>
              <w:rPr>
                <w:rFonts w:eastAsia="Times New Roman" w:cs="Times New Roman"/>
                <w:b w:val="false"/>
                <w:sz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</w:rPr>
              <w:t>14</w:t>
            </w:r>
            <w:r>
              <w:rPr>
                <w:rFonts w:eastAsia="Times New Roman"/>
                <w:b w:val="false"/>
                <w:sz w:val="26"/>
              </w:rPr>
              <w:t>25</w:t>
            </w:r>
            <w:r>
              <w:rPr>
                <w:rFonts w:eastAsia="Times New Roman"/>
                <w:b w:val="false"/>
                <w:sz w:val="26"/>
              </w:rPr>
              <w:t>/68</w:t>
            </w:r>
          </w:p>
        </w:tc>
      </w:tr>
    </w:tbl>
    <w:p>
      <w:pPr>
        <w:pStyle w:val="Normal"/>
        <w:widowControl w:val="false"/>
        <w:tabs>
          <w:tab w:val="left" w:pos="720" w:leader="none"/>
        </w:tabs>
        <w:suppressAutoHyphens w:val="true"/>
        <w:bidi w:val="0"/>
        <w:spacing w:lineRule="atLeast" w:line="283" w:before="0" w:after="0"/>
        <w:ind w:left="0" w:right="0" w:hanging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ради від 2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1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.12.201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7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903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/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49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8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>20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eastAsia="DejaVu Sans" w:cs="Times New Roman"/>
          <w:bCs/>
          <w:lang w:eastAsia="ru-RU"/>
        </w:rPr>
      </w:pPr>
      <w:r>
        <w:rPr>
          <w:rFonts w:eastAsia="DejaVu Sans" w:cs="Times New Roman" w:ascii="Times New Roman" w:hAnsi="Times New Roman"/>
          <w:bCs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Batang" w:cs="Times New Roman" w:ascii="Times New Roman" w:hAnsi="Times New Roman"/>
          <w:bCs/>
          <w:sz w:val="28"/>
          <w:szCs w:val="28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cs="Times New Roman" w:ascii="Times New Roman" w:hAnsi="Times New Roman"/>
          <w:bCs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1. Внести зміни та доповнення до Програми економічного, соціального та культурного розвитку м. Каховки на 2018 рік та прогнозних макропоказників економічного і соціального розвитку міста до 2020 року (далі - Програма), затвердженої рішенням 49 сесії VII скликання Каховської міської ради № 903/49 від 21.12.2017 року, а саме: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Batang" w:cs="Times New Roman"/>
          <w:bCs/>
          <w:lang w:bidi="ar-SA"/>
        </w:rPr>
      </w:pPr>
      <w:r>
        <w:rPr>
          <w:rFonts w:eastAsia="Batang" w:cs="Times New Roman" w:ascii="Times New Roman" w:hAnsi="Times New Roman"/>
          <w:bCs/>
          <w:lang w:bidi="ar-SA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Batang" w:cs="Times New Roman"/>
          <w:bCs/>
          <w:lang w:bidi="ar-SA"/>
        </w:rPr>
      </w:pPr>
      <w:r>
        <w:rPr>
          <w:rFonts w:eastAsia="Batang" w:cs="Times New Roman" w:ascii="Times New Roman" w:hAnsi="Times New Roman"/>
          <w:bCs/>
          <w:lang w:bidi="ar-SA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Batang" w:cs="Times New Roman"/>
          <w:bCs/>
          <w:sz w:val="28"/>
          <w:szCs w:val="28"/>
          <w:lang w:bidi="ar-SA"/>
        </w:rPr>
      </w:pPr>
      <w:r>
        <w:rPr>
          <w:rFonts w:eastAsia="Batang" w:cs="Times New Roman" w:ascii="Times New Roman" w:hAnsi="Times New Roman"/>
          <w:bCs/>
          <w:sz w:val="28"/>
          <w:szCs w:val="28"/>
          <w:lang w:bidi="ar-SA"/>
        </w:rPr>
        <w:tab/>
        <w:t>1) доповнити додаток 4 Заходів, затверджених рішенням 49 сесії VІІ скликання Каховської міської ради від 21.12.2017р. № 903/49 наступним пунктами та змістом: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1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643"/>
        <w:gridCol w:w="7545"/>
        <w:gridCol w:w="1443"/>
      </w:tblGrid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134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телевізорів для покращення навчального процесу у закладах загальної середньої освіти міста – 21 шт.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192,6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Batang" w:cs="Times New Roman"/>
          <w:bCs/>
          <w:lang w:bidi="ar-SA"/>
        </w:rPr>
      </w:pPr>
      <w:r>
        <w:rPr>
          <w:rFonts w:eastAsia="Batang" w:cs="Times New Roman" w:ascii="Times New Roman" w:hAnsi="Times New Roman"/>
          <w:bCs/>
          <w:lang w:bidi="ar-SA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Batang" w:cs="Times New Roman"/>
          <w:bCs/>
          <w:lang w:bidi="ar-SA"/>
        </w:rPr>
      </w:pPr>
      <w:r>
        <w:rPr>
          <w:rFonts w:eastAsia="Batang" w:cs="Times New Roman" w:ascii="Times New Roman" w:hAnsi="Times New Roman"/>
          <w:bCs/>
          <w:lang w:bidi="ar-SA"/>
        </w:rPr>
      </w:r>
    </w:p>
    <w:p>
      <w:pPr>
        <w:pStyle w:val="Normal"/>
        <w:tabs>
          <w:tab w:val="left" w:pos="426" w:leader="none"/>
        </w:tabs>
        <w:ind w:firstLine="555"/>
        <w:jc w:val="both"/>
        <w:rPr/>
      </w:pPr>
      <w:r>
        <w:rPr>
          <w:rFonts w:eastAsia="Batang" w:cs="Times New Roman" w:ascii="Times New Roman" w:hAnsi="Times New Roman"/>
          <w:bCs/>
          <w:sz w:val="28"/>
          <w:szCs w:val="28"/>
          <w:lang w:bidi="ar-SA"/>
        </w:rPr>
        <w:t>2) внести зміни до пункту додатку 4 Заходів, затверджених рішенням 49 сесії VІІ скликання Каховської міської ради від 21.12.2017р. № 903/49, а саме викласти у наступній редакції:</w:t>
      </w:r>
    </w:p>
    <w:p>
      <w:pPr>
        <w:pStyle w:val="Normal"/>
        <w:tabs>
          <w:tab w:val="left" w:pos="426" w:leader="none"/>
        </w:tabs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31" w:type="dxa"/>
        <w:jc w:val="left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672"/>
        <w:gridCol w:w="7488"/>
        <w:gridCol w:w="1471"/>
      </w:tblGrid>
      <w:tr>
        <w:trPr/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344" w:hRule="atLeast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344" w:hRule="atLeast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При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дбання комп’ютеру та серверу для виконавчого комітету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44,4</w:t>
            </w:r>
          </w:p>
        </w:tc>
      </w:tr>
      <w:tr>
        <w:trPr>
          <w:trHeight w:val="344" w:hRule="atLeast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105.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частини приміщень будівель закладів загальної середньої освіти для створення сучасного освітнього середовища в рамках «Нової української школи»: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СЗОШ № 2 – 447 075 грн.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ЗОШ № 4 – 1 216 785 грн.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ЗОШ № 5 – 685 487 грн.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ЗОШ № 6 – 505 168 грн.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НВК «Гімназія» –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921223 грн.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3775,74</w:t>
            </w:r>
          </w:p>
        </w:tc>
      </w:tr>
      <w:tr>
        <w:trPr>
          <w:trHeight w:val="169" w:hRule="atLeast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119.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Розробка проектно-кошторисної документації на реконструкцію нежитлової будівлі за адресою: м. Каховка, вул. О.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Гончара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 1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7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(КП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КТП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>
        <w:trPr>
          <w:trHeight w:val="169" w:hRule="atLeast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133.</w:t>
            </w:r>
          </w:p>
        </w:tc>
        <w:tc>
          <w:tcPr>
            <w:tcW w:w="7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сімей, та забезпечення житлом дітей-сиріт,  осіб з їх числа за рахунок субвенції з державного бюджету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1571,5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виключити пункти додатку 4 Заходів, затверджених рішенням 49 сесії VІІ скликання Каховської міської ради від 21.12.2017р. № 903/49, з переліку запланованих заходів: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35" w:type="dxa"/>
        <w:jc w:val="left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5"/>
        <w:gridCol w:w="7706"/>
        <w:gridCol w:w="1364"/>
      </w:tblGrid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та встановлення ліцензійного програмного забезпечення по створенню Автоматизованої геоінформаційної системи Служби містобудівного кадастру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108,0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eastAsia="Batang" w:cs="Times New Roman" w:ascii="Times New Roman" w:hAnsi="Times New Roman"/>
          <w:bCs/>
          <w:sz w:val="28"/>
          <w:szCs w:val="28"/>
          <w:lang w:val="ru-RU" w:bidi="ar-SA"/>
        </w:rPr>
        <w:t>4</w:t>
      </w:r>
      <w:r>
        <w:rPr>
          <w:rFonts w:eastAsia="Batang" w:cs="Times New Roman" w:ascii="Times New Roman" w:hAnsi="Times New Roman"/>
          <w:bCs/>
          <w:sz w:val="28"/>
          <w:szCs w:val="28"/>
          <w:lang w:bidi="ar-SA"/>
        </w:rPr>
        <w:t xml:space="preserve">) внести зміни в Розділи додатку 3 Програми, </w:t>
      </w:r>
      <w:r>
        <w:rPr>
          <w:rFonts w:eastAsia="Batang" w:cs="Times New Roman" w:ascii="Times New Roman" w:hAnsi="Times New Roman"/>
          <w:bCs/>
          <w:sz w:val="28"/>
          <w:szCs w:val="28"/>
          <w:highlight w:val="white"/>
          <w:lang w:bidi="ar-SA"/>
        </w:rPr>
        <w:t>а саме викласти у наступній редакції:</w:t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8"/>
          <w:szCs w:val="28"/>
          <w:highlight w:val="white"/>
          <w:lang w:bidi="ar-SA"/>
        </w:rPr>
      </w:pPr>
      <w:r>
        <w:rPr>
          <w:rFonts w:eastAsia="Batang" w:cs="Times New Roman" w:ascii="Times New Roman" w:hAnsi="Times New Roman"/>
          <w:bCs/>
          <w:sz w:val="28"/>
          <w:szCs w:val="28"/>
          <w:highlight w:val="white"/>
          <w:lang w:bidi="ar-SA"/>
        </w:rPr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8"/>
          <w:szCs w:val="28"/>
          <w:highlight w:val="white"/>
          <w:lang w:bidi="ar-SA"/>
        </w:rPr>
      </w:pPr>
      <w:r>
        <w:rPr>
          <w:rFonts w:eastAsia="Batang" w:cs="Times New Roman" w:ascii="Times New Roman" w:hAnsi="Times New Roman"/>
          <w:bCs/>
          <w:sz w:val="28"/>
          <w:szCs w:val="28"/>
          <w:highlight w:val="white"/>
          <w:lang w:bidi="ar-SA"/>
        </w:rPr>
      </w:r>
    </w:p>
    <w:tbl>
      <w:tblPr>
        <w:tblW w:w="10365" w:type="dxa"/>
        <w:jc w:val="left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965"/>
        <w:gridCol w:w="2625"/>
        <w:gridCol w:w="1020"/>
        <w:gridCol w:w="2895"/>
        <w:gridCol w:w="1860"/>
      </w:tblGrid>
      <w:tr>
        <w:trPr>
          <w:trHeight w:val="1020" w:hRule="atLeast"/>
        </w:trPr>
        <w:tc>
          <w:tcPr>
            <w:tcW w:w="10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 Розвиток туристично - рекреаційного комплексу та охорона культурної спадщини</w:t>
            </w:r>
          </w:p>
        </w:tc>
      </w:tr>
      <w:tr>
        <w:trPr>
          <w:trHeight w:val="1020" w:hRule="atLeast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Завдання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Термін викона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Відповідальні за виконання</w:t>
            </w:r>
          </w:p>
        </w:tc>
      </w:tr>
      <w:tr>
        <w:trPr>
          <w:trHeight w:val="1020" w:hRule="atLeast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Розвиток туристичної інфраструктури міста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Реконструкція площі біля ПК “Меліоратор” в м.Каховка -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0,5 тис.грн.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Реконструкція парку Слави в м.Каховка –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30,5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тис.грн. 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Отримання технічних умов та експертного звіту по проектам: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від АТ “Херсонолбленерго-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24,5 тис.грн.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за приєднання електроустановки 15 квт потужності;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технічні умови від КВУ “Каховводоканал” -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3,0 тис.грн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експертний звіт від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філії ДП „Укрдержбудекспертиза” у Херсонській  області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13,0 тис.грн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від АТ “Херсонолбленерго” -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11,5 тис.грн.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за приєднання електроустановки 7 квт потужності;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технічні умови від КВУ “Каховводоканал”-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3,0 тис.грн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експертний звіт від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філії ДП „Укрдержбудекспертиза” у Херсонській області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16,0 тис.грн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.).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Виконавчий комітет Каховської міської ради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Відділ містобудува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ння та архітектури</w:t>
            </w:r>
          </w:p>
        </w:tc>
      </w:tr>
      <w:tr>
        <w:trPr>
          <w:trHeight w:val="508" w:hRule="atLeast"/>
        </w:trPr>
        <w:tc>
          <w:tcPr>
            <w:tcW w:w="10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white"/>
              </w:rPr>
              <w:t>Операційна ціль. Розвиток будівництва.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 Сприяння вирішенню житлової проблеми</w:t>
            </w:r>
          </w:p>
        </w:tc>
      </w:tr>
      <w:tr>
        <w:trPr>
          <w:trHeight w:val="1020" w:hRule="atLeast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Style18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Оновлення містобудівної документації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Style18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Розвиток Служби містобудівного кадастру у складі відділу містобудування та архітектури для ведення містобудівного кадастру м. Каховки на 2017-2018 роки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Придбання та встановлення ліцензійного програмного забезпечення по створенню Автоматизованої геоінформаційної системи Служби містобудівного кадастру (програмне забезпечення для ведення та обробки даних містобудівного кадастру)—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108,0 тис. грн.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Міський бюджет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Виконавчий комітет Каховської міської ради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Відділ містобудува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ння та архітектури</w:t>
            </w:r>
          </w:p>
        </w:tc>
      </w:tr>
      <w:tr>
        <w:trPr>
          <w:trHeight w:val="551" w:hRule="atLeast"/>
        </w:trPr>
        <w:tc>
          <w:tcPr>
            <w:tcW w:w="10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ind w:left="-6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white"/>
                <w:shd w:fill="FFFFFF" w:val="clear"/>
              </w:rPr>
              <w:t>Операційна ціль.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Розвиток освіти,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культури і духовності</w:t>
            </w:r>
          </w:p>
        </w:tc>
      </w:tr>
      <w:tr>
        <w:trPr>
          <w:trHeight w:val="1020" w:hRule="atLeast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993" w:leader="none"/>
              </w:tabs>
              <w:snapToGrid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Style18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Експертиза робочого проекту з капітального ремонту з утепленням зовнішніх огороджувальних конструкцій будівлі дошкільного навчального закладу № 5 “Берізка” за адресою: вул. Панкеєвська, 1 м. Каховка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3,3 тис.грн.</w:t>
            </w:r>
          </w:p>
          <w:p>
            <w:pPr>
              <w:pStyle w:val="Style18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Експертиза робочого проекту з капітального ремонту (термомодернізація) будівлі дошкільного навчального закладу № 10 “Казка” за адресою: вул. Ентузіастів, 8 м. Каховка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3,3 тис. грн.</w:t>
            </w:r>
          </w:p>
          <w:p>
            <w:pPr>
              <w:pStyle w:val="Style18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Експертиза робочого проекту з капітального ремонту з утепленням зовнішніх огороджувальних конструкцій будівлі ясла-садка №9 “Оленка”, м. Каховка,  пр. Європейський, 20 -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8,1 тис. грн.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гом року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993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Покращення стану матеріально-технічної бази закладів освіти, створення якісних умов для надання освітніх послуг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Виконавчий комітет Каховської міської ради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Batang" w:cs="Times New Roman" w:ascii="Times New Roman" w:hAnsi="Times New Roman"/>
          <w:bCs/>
          <w:sz w:val="28"/>
          <w:szCs w:val="28"/>
          <w:lang w:val="ru-RU" w:bidi="ar-SA"/>
        </w:rPr>
        <w:t>5</w:t>
      </w:r>
      <w:r>
        <w:rPr>
          <w:rFonts w:eastAsia="Batang" w:cs="Times New Roman" w:ascii="Times New Roman" w:hAnsi="Times New Roman"/>
          <w:bCs/>
          <w:sz w:val="28"/>
          <w:szCs w:val="28"/>
          <w:lang w:bidi="ar-SA"/>
        </w:rPr>
        <w:t>) доповнити Розділ додатка 3 Програми</w:t>
      </w:r>
      <w:r>
        <w:rPr>
          <w:rFonts w:eastAsia="Batang" w:cs="Times New Roman" w:ascii="Times New Roman" w:hAnsi="Times New Roman"/>
          <w:bCs/>
          <w:sz w:val="28"/>
          <w:szCs w:val="28"/>
          <w:highlight w:val="white"/>
          <w:lang w:bidi="ar-SA"/>
        </w:rPr>
        <w:t xml:space="preserve"> наступним змістом:</w:t>
      </w:r>
    </w:p>
    <w:p>
      <w:pPr>
        <w:pStyle w:val="Normal"/>
        <w:tabs>
          <w:tab w:val="left" w:pos="426" w:leader="none"/>
        </w:tabs>
        <w:ind w:firstLine="709"/>
        <w:jc w:val="both"/>
        <w:rPr>
          <w:rFonts w:eastAsia="Batang"/>
          <w:bCs/>
          <w:highlight w:val="white"/>
          <w:lang w:bidi="ar-SA"/>
        </w:rPr>
      </w:pPr>
      <w:r>
        <w:rPr>
          <w:rFonts w:eastAsia="Batang"/>
          <w:bCs/>
          <w:highlight w:val="white"/>
          <w:lang w:bidi="ar-SA"/>
        </w:rPr>
      </w:r>
    </w:p>
    <w:tbl>
      <w:tblPr>
        <w:tblW w:w="10200" w:type="dxa"/>
        <w:jc w:val="left"/>
        <w:tblInd w:w="-2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979"/>
        <w:gridCol w:w="2221"/>
        <w:gridCol w:w="1125"/>
        <w:gridCol w:w="2670"/>
        <w:gridCol w:w="2205"/>
      </w:tblGrid>
      <w:tr>
        <w:trPr/>
        <w:tc>
          <w:tcPr>
            <w:tcW w:w="102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white"/>
              </w:rPr>
              <w:t xml:space="preserve">Операційна ціль. 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Транспорт, дорожнє господарство, розвиток інформаційної сфери, телекомунікацій і зв’язку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Забезпечення транспортного обслуговування мешканців міста, згідно із соціальними нормативами</w:t>
            </w:r>
          </w:p>
        </w:tc>
      </w:tr>
      <w:tr>
        <w:trPr/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Завдання</w:t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Термін викона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Відповідальні за виконання</w:t>
            </w:r>
          </w:p>
        </w:tc>
      </w:tr>
      <w:tr>
        <w:trPr/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left" w:pos="540" w:leader="none"/>
              </w:tabs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 xml:space="preserve">Удосконалення матеріально-технічної бази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виконавчого комітету Каховської міської ради </w:t>
            </w: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733" w:leader="none"/>
              </w:tabs>
              <w:snapToGrid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Капітальний та поточний ремонт будівлі виконавчого комітету Каховської міської ради, придбання та ремонт автомобільного транспорту. Забезпечення виконання інженерно - технічних умов будівлі виконкому та ЦНАПу.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Придбання </w:t>
            </w:r>
            <w:bookmarkStart w:id="1" w:name="__DdeLink__346_743598613"/>
            <w:r>
              <w:rPr>
                <w:rFonts w:cs="Times New Roman" w:ascii="Times New Roman" w:hAnsi="Times New Roman"/>
                <w:sz w:val="24"/>
                <w:szCs w:val="24"/>
              </w:rPr>
              <w:t>комп'ютерного обладнання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—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29,593 тис. грн.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та комплектуючих —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26,9 тис. грн.</w:t>
            </w:r>
          </w:p>
          <w:p>
            <w:pPr>
              <w:pStyle w:val="Style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електротоварів —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11,062 тис. грн.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Виконавчий комітет Каховської міської ради</w:t>
            </w:r>
          </w:p>
        </w:tc>
      </w:tr>
    </w:tbl>
    <w:p>
      <w:pPr>
        <w:pStyle w:val="Normal"/>
        <w:tabs>
          <w:tab w:val="left" w:pos="426" w:leader="none"/>
        </w:tabs>
        <w:ind w:firstLine="709"/>
        <w:jc w:val="both"/>
        <w:rPr>
          <w:rFonts w:eastAsia="Batang"/>
          <w:bCs/>
          <w:sz w:val="28"/>
          <w:szCs w:val="28"/>
          <w:highlight w:val="white"/>
          <w:lang w:bidi="ar-SA"/>
        </w:rPr>
      </w:pPr>
      <w:r>
        <w:rPr>
          <w:rFonts w:eastAsia="Batang"/>
          <w:bCs/>
          <w:sz w:val="28"/>
          <w:szCs w:val="28"/>
          <w:highlight w:val="white"/>
          <w:lang w:bidi="ar-SA"/>
        </w:rPr>
      </w:r>
    </w:p>
    <w:p>
      <w:pPr>
        <w:pStyle w:val="Normal"/>
        <w:tabs>
          <w:tab w:val="left" w:pos="67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bidi="ar-SA"/>
        </w:rPr>
        <w:tab/>
      </w:r>
      <w:r>
        <w:rPr>
          <w:rFonts w:eastAsia="Batang" w:cs="Times New Roman" w:ascii="Times New Roman" w:hAnsi="Times New Roman"/>
          <w:bCs/>
          <w:sz w:val="28"/>
          <w:szCs w:val="28"/>
          <w:lang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Орєхова І.М. </w:t>
      </w:r>
    </w:p>
    <w:p>
      <w:pPr>
        <w:pStyle w:val="Normal"/>
        <w:tabs>
          <w:tab w:val="left" w:pos="675" w:leader="none"/>
          <w:tab w:val="left" w:pos="720" w:leader="none"/>
        </w:tabs>
        <w:spacing w:before="0" w:after="120"/>
        <w:jc w:val="both"/>
        <w:rPr/>
      </w:pPr>
      <w:r>
        <w:rPr>
          <w:rFonts w:eastAsia="Batang" w:cs="Times New Roman" w:ascii="Times New Roman" w:hAnsi="Times New Roman"/>
          <w:bCs/>
          <w:sz w:val="28"/>
          <w:szCs w:val="28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tabs>
          <w:tab w:val="left" w:pos="675" w:leader="none"/>
          <w:tab w:val="left" w:pos="720" w:leader="none"/>
        </w:tabs>
        <w:spacing w:before="0" w:after="120"/>
        <w:jc w:val="both"/>
        <w:rPr>
          <w:rFonts w:ascii="Times New Roman" w:hAnsi="Times New Roman" w:eastAsia="Batang" w:cs="Times New Roman"/>
          <w:bCs/>
          <w:sz w:val="28"/>
          <w:szCs w:val="28"/>
          <w:lang w:eastAsia="ru-RU" w:bidi="ar-SA"/>
        </w:rPr>
      </w:pPr>
      <w:r>
        <w:rPr>
          <w:rFonts w:eastAsia="Batang" w:cs="Times New Roman" w:ascii="Times New Roman" w:hAnsi="Times New Roman"/>
          <w:bCs/>
          <w:sz w:val="28"/>
          <w:szCs w:val="28"/>
          <w:lang w:eastAsia="ru-RU" w:bidi="ar-SA"/>
        </w:rPr>
      </w:r>
    </w:p>
    <w:p>
      <w:pPr>
        <w:pStyle w:val="Normal"/>
        <w:tabs>
          <w:tab w:val="left" w:pos="675" w:leader="none"/>
          <w:tab w:val="left" w:pos="720" w:leader="none"/>
        </w:tabs>
        <w:spacing w:before="0" w:after="120"/>
        <w:jc w:val="both"/>
        <w:rPr>
          <w:rFonts w:ascii="Times New Roman" w:hAnsi="Times New Roman" w:eastAsia="Batang" w:cs="Times New Roman"/>
          <w:bCs/>
          <w:sz w:val="28"/>
          <w:szCs w:val="28"/>
          <w:lang w:eastAsia="ru-RU" w:bidi="ar-SA"/>
        </w:rPr>
      </w:pPr>
      <w:r>
        <w:rPr>
          <w:rFonts w:eastAsia="Batang" w:cs="Times New Roman" w:ascii="Times New Roman" w:hAnsi="Times New Roman"/>
          <w:bCs/>
          <w:sz w:val="28"/>
          <w:szCs w:val="28"/>
          <w:lang w:eastAsia="ru-RU" w:bidi="ar-SA"/>
        </w:rPr>
      </w:r>
    </w:p>
    <w:p>
      <w:pPr>
        <w:pStyle w:val="Normal"/>
        <w:tabs>
          <w:tab w:val="left" w:pos="675" w:leader="none"/>
          <w:tab w:val="left" w:pos="720" w:leader="none"/>
        </w:tabs>
        <w:spacing w:before="0" w:after="120"/>
        <w:ind w:right="-428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ar-SA"/>
        </w:rPr>
        <w:t xml:space="preserve">        </w:t>
      </w:r>
      <w:r>
        <w:rPr>
          <w:rFonts w:eastAsia="Batang" w:cs="Times New Roman" w:ascii="Times New Roman" w:hAnsi="Times New Roman"/>
          <w:bCs/>
          <w:sz w:val="28"/>
          <w:szCs w:val="28"/>
          <w:lang w:eastAsia="ru-RU" w:bidi="ar-SA"/>
        </w:rPr>
        <w:t>Міський голова                                                                           А.А. Дяченко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cc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sz w:val="28"/>
      <w:lang w:val="uk-UA"/>
    </w:rPr>
  </w:style>
  <w:style w:type="paragraph" w:styleId="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8c576b"/>
    <w:rPr>
      <w:rFonts w:ascii="Segoe UI" w:hAnsi="Segoe UI" w:cs="Mangal"/>
      <w:sz w:val="18"/>
      <w:szCs w:val="16"/>
    </w:rPr>
  </w:style>
  <w:style w:type="paragraph" w:styleId="Style13" w:customStyle="1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uiPriority w:val="99"/>
    <w:semiHidden/>
    <w:unhideWhenUsed/>
    <w:qFormat/>
    <w:rsid w:val="008c576b"/>
    <w:pPr/>
    <w:rPr>
      <w:rFonts w:ascii="Segoe UI" w:hAnsi="Segoe UI" w:cs="Mangal"/>
      <w:sz w:val="18"/>
      <w:szCs w:val="16"/>
    </w:rPr>
  </w:style>
  <w:style w:type="paragraph" w:styleId="Style18" w:customStyle="1">
    <w:name w:val="Содержимое таблицы"/>
    <w:basedOn w:val="Normal"/>
    <w:qFormat/>
    <w:rsid w:val="00d01eab"/>
    <w:pPr>
      <w:widowControl w:val="false"/>
      <w:suppressLineNumbers/>
      <w:suppressAutoHyphens w:val="true"/>
    </w:pPr>
    <w:rPr>
      <w:rFonts w:eastAsia="Droid Sans Fallback"/>
    </w:rPr>
  </w:style>
  <w:style w:type="paragraph" w:styleId="Style19">
    <w:name w:val="Заголовок таблицы"/>
    <w:basedOn w:val="Style18"/>
    <w:qFormat/>
    <w:pPr/>
    <w:rPr/>
  </w:style>
  <w:style w:type="paragraph" w:styleId="Style20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 LibreOffice_project/10m0$Build-2</Application>
  <Pages>5</Pages>
  <Words>841</Words>
  <Characters>5488</Characters>
  <CharactersWithSpaces>7823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2018-12-18T14:29:00Z</dcterms:created>
  <dc:creator>Перемежко</dc:creator>
  <dc:description/>
  <dc:language>uk-UA</dc:language>
  <cp:lastModifiedBy/>
  <cp:lastPrinted>2018-12-19T11:11:53Z</cp:lastPrinted>
  <dcterms:modified xsi:type="dcterms:W3CDTF">2018-12-21T10:33:56Z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