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right="-469" w:hanging="0"/>
        <w:jc w:val="center"/>
        <w:rPr/>
      </w:pPr>
      <w:r>
        <w:rPr/>
        <w:t xml:space="preserve">  </w:t>
      </w:r>
      <w:r>
        <w:rPr/>
        <w:drawing>
          <wp:inline distT="0" distB="0" distL="0" distR="0">
            <wp:extent cx="531495" cy="6718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bidi w:val="0"/>
        <w:jc w:val="center"/>
        <w:rPr>
          <w:b/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0"/>
          <w:numId w:val="0"/>
        </w:numPr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suppressAutoHyphens w:val="true"/>
        <w:bidi w:val="0"/>
        <w:ind w:left="3175" w:right="0" w:hanging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1"/>
        </w:numPr>
        <w:suppressAutoHyphens w:val="true"/>
        <w:bidi w:val="0"/>
        <w:ind w:left="3912" w:right="0" w:hanging="0"/>
        <w:jc w:val="left"/>
        <w:rPr>
          <w:b w:val="false"/>
          <w:b w:val="false"/>
          <w:sz w:val="32"/>
        </w:rPr>
      </w:pPr>
      <w:r>
        <w:rPr>
          <w:b w:val="false"/>
          <w:sz w:val="32"/>
        </w:rPr>
        <w:t>РІШЕННЯ</w:t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/>
        <w:t xml:space="preserve">____76______ сесії </w:t>
      </w:r>
      <w:r>
        <w:rPr>
          <w:lang w:val="en-US"/>
        </w:rPr>
        <w:t>___VII______</w:t>
      </w:r>
      <w:r>
        <w:rPr/>
        <w:t xml:space="preserve"> скликання</w:t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/>
      </w:r>
    </w:p>
    <w:p>
      <w:pPr>
        <w:pStyle w:val="Normal"/>
        <w:widowControl w:val="false"/>
        <w:suppressAutoHyphens w:val="tru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885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3295"/>
        <w:gridCol w:w="3299"/>
      </w:tblGrid>
      <w:tr>
        <w:trPr/>
        <w:tc>
          <w:tcPr>
            <w:tcW w:w="3291" w:type="dxa"/>
            <w:tcBorders/>
            <w:shd w:fill="FFFFFF" w:val="clear"/>
          </w:tcPr>
          <w:p>
            <w:pPr>
              <w:pStyle w:val="Style20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jc w:val="both"/>
              <w:rPr/>
            </w:pPr>
            <w:r>
              <w:rPr>
                <w:b w:val="false"/>
                <w:sz w:val="26"/>
              </w:rPr>
              <w:t>28.03.2019 року</w:t>
            </w:r>
          </w:p>
        </w:tc>
        <w:tc>
          <w:tcPr>
            <w:tcW w:w="3295" w:type="dxa"/>
            <w:tcBorders/>
            <w:shd w:fill="FFFFFF" w:val="clear"/>
          </w:tcPr>
          <w:p>
            <w:pPr>
              <w:pStyle w:val="Style20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299" w:type="dxa"/>
            <w:tcBorders/>
            <w:shd w:fill="FFFFFF" w:val="clear"/>
          </w:tcPr>
          <w:p>
            <w:pPr>
              <w:pStyle w:val="Style20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jc w:val="right"/>
              <w:rPr/>
            </w:pPr>
            <w:r>
              <w:rPr>
                <w:rFonts w:eastAsia="Times New Roman" w:cs="Times New Roman"/>
                <w:b w:val="false"/>
                <w:sz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</w:rPr>
              <w:t>1</w:t>
            </w:r>
            <w:r>
              <w:rPr>
                <w:rFonts w:eastAsia="Times New Roman"/>
                <w:b w:val="false"/>
                <w:sz w:val="26"/>
              </w:rPr>
              <w:t xml:space="preserve">576 </w:t>
            </w:r>
            <w:r>
              <w:rPr>
                <w:rFonts w:eastAsia="Times New Roman"/>
                <w:b w:val="false"/>
                <w:sz w:val="26"/>
              </w:rPr>
              <w:t>/76</w:t>
            </w:r>
          </w:p>
        </w:tc>
      </w:tr>
    </w:tbl>
    <w:p>
      <w:pPr>
        <w:pStyle w:val="Normal"/>
        <w:tabs>
          <w:tab w:val="left" w:pos="720" w:leader="none"/>
        </w:tabs>
        <w:ind w:left="0" w:right="-195" w:hanging="0"/>
        <w:jc w:val="center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</w:rPr>
        <w:t xml:space="preserve">внесення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змін</w:t>
      </w:r>
      <w:r>
        <w:rPr>
          <w:sz w:val="28"/>
          <w:szCs w:val="28"/>
          <w:lang w:val="uk-UA"/>
        </w:rPr>
        <w:t xml:space="preserve"> та доповнень до рішення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Сесії міської ради  від 29.01.2015 №  1263/68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міську  програму поліпшення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життєзабезпечення, реабілітації, соціального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людей похилого віку та осіб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інвалідністю на 2015 - 2019 роки»  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ind w:right="-14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Розглянувши пропозиції управління праці та соціального захисту наслененя Каховської міської ради  щодо внесення змін та доповнень до міської програми поліпшення життєзабезпечення, реабілітації, соціального захисту людей похилого віку та осіб з інвалідністю на 2015-2019 роки, керуючись пунктом  22 частини першої  ст. 26  Закону  України  «Про місцеве самоврядування в Україні», сесія міської ради</w:t>
      </w:r>
    </w:p>
    <w:p>
      <w:pPr>
        <w:pStyle w:val="Normal"/>
        <w:ind w:right="-14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ВИРІШИЛА: </w:t>
      </w:r>
    </w:p>
    <w:p>
      <w:pPr>
        <w:pStyle w:val="Normal"/>
        <w:ind w:right="-143" w:hang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ind w:right="-14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1. Внести  зміни  до рішення сесії міської ради від  29.01.2015  №  1263/68   «Про міську програму поліпшення життєзабезпечення, реабілітації соціального захисту людей похилого віку та осіб з інвалідністю на 2015 - 2019 роки», а саме:  викласти  підпункт 1 пункту 9 та пункти 22,23,26  розділу  І  заходів міської програми поліпшення життєзабезпечення, реабілітації,  соціального  захисту  людей  похилого віку та осіб з інвалідністю на 2015 - 2019 роки в такій редакції: </w:t>
      </w:r>
    </w:p>
    <w:tbl>
      <w:tblPr>
        <w:tblW w:w="955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28" w:type="dxa"/>
        </w:tblCellMar>
        <w:tblLook w:val="01e0"/>
      </w:tblPr>
      <w:tblGrid>
        <w:gridCol w:w="479"/>
        <w:gridCol w:w="5436"/>
        <w:gridCol w:w="1367"/>
        <w:gridCol w:w="2268"/>
      </w:tblGrid>
      <w:tr>
        <w:trPr>
          <w:trHeight w:val="537" w:hRule="atLeast"/>
        </w:trPr>
        <w:tc>
          <w:tcPr>
            <w:tcW w:w="9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      </w:t>
            </w:r>
            <w:r>
              <w:rPr>
                <w:sz w:val="28"/>
                <w:szCs w:val="28"/>
                <w:lang w:val="uk-UA"/>
              </w:rPr>
              <w:t xml:space="preserve">Розділ І                                                             Тис. грн. 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>
        <w:trPr>
          <w:trHeight w:val="445" w:hRule="atLeast"/>
          <w:cantSplit w:val="true"/>
        </w:trPr>
        <w:tc>
          <w:tcPr>
            <w:tcW w:w="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right="51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Надавати за зверненнями: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>
        <w:trPr>
          <w:trHeight w:val="1549" w:hRule="atLeast"/>
          <w:cantSplit w:val="true"/>
        </w:trPr>
        <w:tc>
          <w:tcPr>
            <w:tcW w:w="4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right="51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-одноразову матеріальну допомогу</w:t>
            </w:r>
          </w:p>
          <w:p>
            <w:pPr>
              <w:pStyle w:val="Normal"/>
              <w:ind w:right="51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малозабезпеченим верствам населення міста, які опинилися у скрутному становищі внаслідок непередбачених обставин 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837,8</w:t>
            </w:r>
          </w:p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(2019 рік)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416" w:hRule="atLeast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right="51" w:hanging="0"/>
              <w:jc w:val="both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щомісячної (в розмірі 37,0 тис. грн.)  матеріальної допомоги К****й Л.А. на лікування дитини з інвалідністю, за умови надання підтверджуючих документів щодо придбання медичного препарату «Актемра» та довідки про проходження курсу лікування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right="47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Квітень-грудень 2019 року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yle19"/>
              <w:ind w:right="47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444,0 </w:t>
            </w:r>
          </w:p>
        </w:tc>
      </w:tr>
      <w:tr>
        <w:trPr>
          <w:trHeight w:val="416" w:hRule="atLeast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right="51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щомісячної (в розмірі 33,0 тис. грн.) матеріальної допомоги К*******й Т.А. на лікування дитини з інвалідністю, за умови надання підтверджуючих документів щодо придбання медичного препарату «Актемра» та довідки про проходження курсу лікування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right="47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Квітень-  грудень</w:t>
            </w:r>
          </w:p>
          <w:p>
            <w:pPr>
              <w:pStyle w:val="Normal"/>
              <w:ind w:right="47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 року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yle19"/>
              <w:ind w:right="47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390,0</w:t>
            </w:r>
          </w:p>
        </w:tc>
      </w:tr>
      <w:tr>
        <w:trPr>
          <w:trHeight w:val="416" w:hRule="atLeast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right="51" w:hanging="0"/>
              <w:jc w:val="both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щомісячної (в розмірі 12,0 тис. грн.)  матеріальної допомоги К***** й  Т.В. на лікування дитини з інвалідністю, за умови надання підтверджуючих документів щодо придбання дороговартісного лікувального харчування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Квітень-грудень 2019 року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144,0</w:t>
            </w:r>
          </w:p>
        </w:tc>
      </w:tr>
    </w:tbl>
    <w:p>
      <w:pPr>
        <w:pStyle w:val="Normal"/>
        <w:ind w:right="-14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2.</w:t>
      </w:r>
      <w:r>
        <w:rPr>
          <w:lang w:val="uk-UA"/>
        </w:rPr>
        <w:t xml:space="preserve">   </w:t>
      </w:r>
      <w:r>
        <w:rPr>
          <w:sz w:val="28"/>
          <w:szCs w:val="28"/>
          <w:lang w:val="uk-UA"/>
        </w:rPr>
        <w:t>Внести   доповнення до   рішення  сесії  міської  ради  від  29.01.2015 № 1263/68 «Про міську програму поліпшення життєзабезпечення, реабілітації, соціального захисту людей похилого віку та осіб з інвалідністю на 2015 - 2019 роки», а саме: доповнити розділ І заходів міської програми поліпшення життєзабезпечення,  реабілітації,  соціального  захисту  людей  похилого  віку та осіб з інвалідністю на 2015 - 2019 роки, пунктом 27 наступного змісту:</w:t>
      </w:r>
    </w:p>
    <w:tbl>
      <w:tblPr>
        <w:tblW w:w="950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28" w:type="dxa"/>
        </w:tblCellMar>
        <w:tblLook w:val="01e0"/>
      </w:tblPr>
      <w:tblGrid>
        <w:gridCol w:w="567"/>
        <w:gridCol w:w="5574"/>
        <w:gridCol w:w="1417"/>
        <w:gridCol w:w="1944"/>
      </w:tblGrid>
      <w:tr>
        <w:trPr>
          <w:trHeight w:val="537" w:hRule="atLeast"/>
        </w:trPr>
        <w:tc>
          <w:tcPr>
            <w:tcW w:w="95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      </w:t>
            </w:r>
            <w:r>
              <w:rPr>
                <w:sz w:val="28"/>
                <w:szCs w:val="28"/>
                <w:lang w:val="uk-UA"/>
              </w:rPr>
              <w:t xml:space="preserve">Розділ І                                                                Тис. грн. 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right="51" w:hanging="0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2"/>
                <w:sz w:val="28"/>
                <w:szCs w:val="28"/>
                <w:lang w:val="uk-UA"/>
              </w:rPr>
              <w:t>27.</w:t>
            </w:r>
          </w:p>
        </w:tc>
        <w:tc>
          <w:tcPr>
            <w:tcW w:w="5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ind w:right="51" w:hanging="0"/>
              <w:jc w:val="both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Надання  матеріальної допомоги В******й А.В  на лікування дитини  - В******** В.О.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</w:t>
            </w:r>
          </w:p>
        </w:tc>
      </w:tr>
    </w:tbl>
    <w:p>
      <w:pPr>
        <w:pStyle w:val="Normal"/>
        <w:ind w:right="-14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3. Фінансовому управлінню (Гончаров О.А.) забезпечити фінансування заходів міської програми поліпшення життєзабезпечення, реабілітації, соціального захисту людей похилого віку та осіб з інвалідністю  на 2015-2019 роки, в межах коштів, передбачених в міському бюджеті на 2019 рік.</w:t>
      </w:r>
    </w:p>
    <w:p>
      <w:pPr>
        <w:pStyle w:val="Normal"/>
        <w:ind w:right="-143" w:hang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4.  Відповідальність за виконання цього рішення покласти на заступника міського голови з питань діяльності виконавчих органів ради Потоскуєва О.В..</w:t>
      </w:r>
    </w:p>
    <w:p>
      <w:pPr>
        <w:pStyle w:val="Style15"/>
        <w:spacing w:before="0" w:after="0"/>
        <w:ind w:right="-14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  Контроль за виконанням цього рішення покласти на постійну комісію з питань культури, освіти, молоді, спорту, соціального захисту населення та охорони здоров'я</w:t>
      </w:r>
      <w:r>
        <w:rPr>
          <w:sz w:val="28"/>
          <w:szCs w:val="28"/>
          <w:lang w:val="uk-UA"/>
        </w:rPr>
        <w:t xml:space="preserve"> (Скрипніченко М.М.).</w:t>
      </w:r>
    </w:p>
    <w:p>
      <w:pPr>
        <w:pStyle w:val="Normal"/>
        <w:ind w:right="-19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А.А. Дяченко</w:t>
      </w:r>
    </w:p>
    <w:p>
      <w:pPr>
        <w:pStyle w:val="Normal"/>
        <w:ind w:right="-19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>Довідка</w:t>
      </w:r>
    </w:p>
    <w:p>
      <w:pPr>
        <w:pStyle w:val="Style15"/>
        <w:spacing w:before="0" w:after="0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>про погодження проекту рішення</w:t>
      </w:r>
    </w:p>
    <w:p>
      <w:pPr>
        <w:pStyle w:val="Normal"/>
        <w:ind w:right="-19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внесення змін до рішення сесії міської ради  від 29.01.2015 № 1263/68 «Про міську програму поліпшення життєзабезпечення, реабілітації соціального захисту людей похилого віку та осіб з інвалідністю</w:t>
      </w:r>
    </w:p>
    <w:p>
      <w:pPr>
        <w:pStyle w:val="Normal"/>
        <w:ind w:right="-19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2015 - 2019 роки»</w:t>
      </w:r>
    </w:p>
    <w:p>
      <w:pPr>
        <w:pStyle w:val="Style15"/>
        <w:spacing w:before="0" w:after="0"/>
        <w:ind w:right="-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ind w:right="-82" w:hanging="0"/>
        <w:rPr>
          <w:sz w:val="28"/>
          <w:szCs w:val="28"/>
        </w:rPr>
      </w:pPr>
      <w:r>
        <w:rPr>
          <w:sz w:val="28"/>
          <w:szCs w:val="28"/>
          <w:u w:val="single"/>
        </w:rPr>
        <w:t>Проект рішення розроблено</w:t>
      </w:r>
      <w:r>
        <w:rPr>
          <w:sz w:val="28"/>
          <w:szCs w:val="28"/>
        </w:rPr>
        <w:t xml:space="preserve"> управлінням праці та соціального захисту  населення Каховської міської ради</w:t>
      </w:r>
    </w:p>
    <w:p>
      <w:pPr>
        <w:pStyle w:val="Style15"/>
        <w:spacing w:before="0" w:after="0"/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</w:rPr>
        <w:t>Підстава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пропозиції управління праці та соціального захисту населення Каховської міської ради</w:t>
      </w:r>
    </w:p>
    <w:p>
      <w:pPr>
        <w:pStyle w:val="Style15"/>
        <w:spacing w:before="0" w:after="0"/>
        <w:ind w:left="360" w:right="-26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>Секретар ради</w:t>
        <w:tab/>
        <w:tab/>
        <w:tab/>
        <w:tab/>
        <w:tab/>
        <w:tab/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І.А. Гончарова  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з питань 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                            О.В. Потоскуєв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депутатської діяльності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І. С.  Зозуля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Начальник фінансового управління</w:t>
        <w:tab/>
        <w:tab/>
        <w:t xml:space="preserve">                  О.А. Гончаров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ind w:right="-262" w:hanging="0"/>
        <w:rPr>
          <w:sz w:val="28"/>
          <w:szCs w:val="28"/>
        </w:rPr>
      </w:pPr>
      <w:r>
        <w:rPr>
          <w:sz w:val="28"/>
          <w:szCs w:val="28"/>
        </w:rPr>
        <w:t>Начальник загального відділу</w:t>
        <w:tab/>
        <w:tab/>
        <w:tab/>
        <w:t xml:space="preserve">         Г.Л. Рашевський</w:t>
      </w:r>
    </w:p>
    <w:p>
      <w:pPr>
        <w:pStyle w:val="Style15"/>
        <w:spacing w:before="0" w:after="0"/>
        <w:ind w:right="-2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ind w:right="-262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 юридичного відділу</w:t>
        <w:tab/>
        <w:t xml:space="preserve">                            Л.Ю. Чиркіна</w:t>
        <w:tab/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Начальник  управління праці   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>та соціального захисту населення</w:t>
        <w:tab/>
        <w:tab/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А.В. Скрипніченко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Виконавець: Спільна О.М., начальник 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>відділу  УПСЗН, тел. 4 29 59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Оприлюднення проекту: 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>Доповідає: Скрипніченко Андрій Вадимович 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начальник управління праці та соціального захисту населення  Каховської міської ради                       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НАПРАВЛЕНО:</w:t>
      </w:r>
    </w:p>
    <w:p>
      <w:pPr>
        <w:pStyle w:val="Style15"/>
        <w:spacing w:before="0" w:after="0"/>
        <w:rPr>
          <w:sz w:val="28"/>
          <w:szCs w:val="28"/>
        </w:rPr>
      </w:pPr>
      <w:r>
        <w:rPr>
          <w:sz w:val="28"/>
          <w:szCs w:val="28"/>
        </w:rPr>
        <w:t>1. Міськфінуправління -1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</w:rPr>
        <w:t>2. Управління праці та соціального захисту населення -2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altName w:val="Courier New"/>
    <w:charset w:val="00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2a8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eastAsia="Arial Unicode MS"/>
      <w:b/>
      <w:sz w:val="28"/>
      <w:lang w:val="uk-UA"/>
    </w:rPr>
  </w:style>
  <w:style w:type="paragraph" w:styleId="3">
    <w:name w:val="Heading 3"/>
    <w:basedOn w:val="Normal"/>
    <w:next w:val="Normal"/>
    <w:qFormat/>
    <w:pPr>
      <w:keepNext/>
      <w:numPr>
        <w:ilvl w:val="0"/>
        <w:numId w:val="2"/>
      </w:numPr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qFormat/>
    <w:rsid w:val="00c02a8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5"/>
    <w:qFormat/>
    <w:rsid w:val="001e36e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link w:val="a6"/>
    <w:rsid w:val="001e36e7"/>
    <w:pPr>
      <w:spacing w:before="0" w:after="12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Header"/>
    <w:basedOn w:val="Normal"/>
    <w:link w:val="a4"/>
    <w:rsid w:val="00c02a80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e36e7"/>
    <w:pPr>
      <w:spacing w:before="0" w:after="0"/>
      <w:ind w:left="720" w:hanging="0"/>
      <w:contextualSpacing/>
    </w:pPr>
    <w:rPr/>
  </w:style>
  <w:style w:type="paragraph" w:styleId="Style20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LibreOffice/5.1.6.2$Linux_x86 LibreOffice_project/10m0$Build-2</Application>
  <Pages>4</Pages>
  <Words>615</Words>
  <Characters>4010</Characters>
  <CharactersWithSpaces>5394</CharactersWithSpaces>
  <Paragraphs>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2019-02-13T07:41:00Z</dcterms:created>
  <dc:creator>Lena</dc:creator>
  <dc:description/>
  <dc:language>ru-RU</dc:language>
  <cp:lastModifiedBy/>
  <cp:lastPrinted>2019-03-29T09:58:00Z</cp:lastPrinted>
  <dcterms:modified xsi:type="dcterms:W3CDTF">2019-04-01T10:32:28Z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