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2"/>
        </w:numPr>
        <w:ind w:left="432" w:right="-469" w:hanging="0"/>
        <w:jc w:val="left"/>
        <w:rPr/>
      </w:pPr>
      <w:r>
        <w:rPr>
          <w:rFonts w:eastAsia="Times New Roman" w:cs="Times New Roman"/>
        </w:rPr>
        <w:t xml:space="preserve">                                                                   </w:t>
      </w:r>
      <w:r>
        <w:rPr>
          <w:rFonts w:eastAsia="Liberation Serif;Times New Roman" w:cs="Liberation Serif;Times New Roman"/>
        </w:rPr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bidi w:val="0"/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0"/>
        </w:numPr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suppressAutoHyphens w:val="true"/>
        <w:bidi w:val="0"/>
        <w:ind w:left="3175" w:right="0" w:hanging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ind w:left="3912" w:right="0" w:hanging="0"/>
        <w:jc w:val="left"/>
        <w:rPr>
          <w:b w:val="false"/>
          <w:b w:val="false"/>
          <w:sz w:val="32"/>
        </w:rPr>
      </w:pPr>
      <w:r>
        <w:rPr>
          <w:b w:val="false"/>
          <w:sz w:val="32"/>
        </w:rPr>
        <w:t>РІШЕННЯ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>
          <w:sz w:val="28"/>
          <w:szCs w:val="28"/>
        </w:rPr>
        <w:t xml:space="preserve">____83______ сесії </w:t>
      </w:r>
      <w:r>
        <w:rPr>
          <w:sz w:val="28"/>
          <w:szCs w:val="28"/>
          <w:lang w:val="en-US"/>
        </w:rPr>
        <w:t>___VII______</w:t>
      </w:r>
      <w:r>
        <w:rPr>
          <w:sz w:val="28"/>
          <w:szCs w:val="28"/>
        </w:rPr>
        <w:t xml:space="preserve"> скликання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88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95"/>
        <w:gridCol w:w="3300"/>
      </w:tblGrid>
      <w:tr>
        <w:trPr/>
        <w:tc>
          <w:tcPr>
            <w:tcW w:w="3290" w:type="dxa"/>
            <w:tcBorders/>
            <w:shd w:fill="FFFFFF" w:val="clear"/>
          </w:tcPr>
          <w:p>
            <w:pPr>
              <w:pStyle w:val="Style19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29.08.2019 року</w:t>
            </w:r>
          </w:p>
        </w:tc>
        <w:tc>
          <w:tcPr>
            <w:tcW w:w="3295" w:type="dxa"/>
            <w:tcBorders/>
            <w:shd w:fill="FFFFFF" w:val="clear"/>
          </w:tcPr>
          <w:p>
            <w:pPr>
              <w:pStyle w:val="Style19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300" w:type="dxa"/>
            <w:tcBorders/>
            <w:shd w:fill="FFFFFF" w:val="clear"/>
          </w:tcPr>
          <w:p>
            <w:pPr>
              <w:pStyle w:val="Style19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right"/>
              <w:rPr/>
            </w:pPr>
            <w:r>
              <w:rPr>
                <w:rFonts w:eastAsia="Times New Roman" w:cs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  <w:szCs w:val="28"/>
              </w:rPr>
              <w:t>1</w:t>
            </w:r>
            <w:r>
              <w:rPr>
                <w:rFonts w:eastAsia="Times New Roman"/>
                <w:b w:val="false"/>
                <w:sz w:val="28"/>
                <w:szCs w:val="28"/>
              </w:rPr>
              <w:t>767</w:t>
            </w:r>
            <w:r>
              <w:rPr>
                <w:rFonts w:eastAsia="Times New Roman"/>
                <w:b w:val="false"/>
                <w:sz w:val="28"/>
                <w:szCs w:val="28"/>
              </w:rPr>
              <w:t>/83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Про внесення змін та доповнень до рішення міської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31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1475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/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72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 зміни та доповнення до Програми економічного, соціального та культурного розвитку м. Каховки на 2019 рік та прогнозних макропоказників економічного і соціального розвитку міста до 2021 року (далі - Програма), затвердженої рішенням 72 сесії VII скликання Каховської міської ради № 1475/72 від 31.01.2019 року, а саме: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1) внести зміни до пунктів додатку 4 Заходів, затверджених рішенням 72 сесії VІІ скликання Каховської міської ради від 31.01.2019р. № 1475/72, а саме викласти у наступній редакції: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709" w:type="dxa"/>
        <w:jc w:val="left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10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67"/>
        <w:gridCol w:w="8074"/>
        <w:gridCol w:w="1068"/>
      </w:tblGrid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Style17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Термомодернізація (капітальний ремонт) будівлі ясла-садку № 9 «Оленка» за адресою: м. Каховка, проспект Європейський, 20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1547,4</w:t>
            </w:r>
          </w:p>
        </w:tc>
      </w:tr>
      <w:tr>
        <w:trPr>
          <w:trHeight w:val="400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Style17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Style17"/>
              <w:snapToGrid w:val="false"/>
              <w:spacing w:lineRule="auto" w:line="22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>Субвенція з областного бюджету на термомодернізацію</w:t>
            </w:r>
            <w:r>
              <w:rPr>
                <w:rFonts w:eastAsia="DejaVu Sans" w:cs="Times New Roman"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(капітальний ремонт) будівлі ясла-садку № 9 «Оленка» за адресою: м. Каховка, проспект Європейський, 20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Style17"/>
              <w:snapToGrid w:val="false"/>
              <w:spacing w:lineRule="auto" w:line="22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500,0</w:t>
            </w:r>
          </w:p>
        </w:tc>
      </w:tr>
      <w:tr>
        <w:trPr>
          <w:trHeight w:val="400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15.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обладнання для оснащення ресурсних кімнат за рахунок залишку коштів освітньої субвенції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150,0</w:t>
            </w:r>
          </w:p>
        </w:tc>
      </w:tr>
      <w:tr>
        <w:trPr>
          <w:trHeight w:val="400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Style17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Капітальний ремонт покрівлі ОСББ: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- ОСББ «Луч -2017» - 254,0 тис. грн.;</w:t>
            </w:r>
          </w:p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- ОСББ «Будівельників, 4» - 254,0 тис. грн.</w:t>
            </w:r>
          </w:p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- ОСББ “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val="ru-RU"/>
              </w:rPr>
              <w:t>П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роспект Європейський №26” — 398,0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>тис. грн.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Style17"/>
              <w:snapToGrid w:val="false"/>
              <w:spacing w:lineRule="auto" w:line="22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pStyle w:val="Style17"/>
              <w:snapToGrid w:val="false"/>
              <w:spacing w:lineRule="auto" w:line="22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906,0</w:t>
            </w:r>
          </w:p>
        </w:tc>
      </w:tr>
      <w:tr>
        <w:trPr>
          <w:trHeight w:val="400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34.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Реконструкція електричних мереж вуличного освітлення вул. Спендіарова, вул. А. Солов’яненко, вул. Я. Мудрого, вул. Мелітопольська приєднаних до КТП№7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575,2</w:t>
            </w:r>
          </w:p>
        </w:tc>
      </w:tr>
      <w:tr>
        <w:trPr>
          <w:trHeight w:val="400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Проектування та реконструкція освітлення вулиць міста в межах вул. Б. Ружинського, Соловʼяненка, Пушкіна, Набережна (КП «КТП»)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303,8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bidi="ar-SA"/>
        </w:rPr>
        <w:tab/>
        <w:t xml:space="preserve">2) внести доповнення в Розділи додатку 3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bidi="ar-SA"/>
        </w:rPr>
        <w:t>а саме викласти у наступній редакції:</w:t>
      </w:r>
    </w:p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bidi="ar-SA"/>
        </w:rPr>
      </w:r>
    </w:p>
    <w:tbl>
      <w:tblPr>
        <w:tblW w:w="9735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983"/>
        <w:gridCol w:w="2157"/>
        <w:gridCol w:w="1244"/>
        <w:gridCol w:w="2550"/>
        <w:gridCol w:w="1759"/>
        <w:gridCol w:w="41"/>
      </w:tblGrid>
      <w:tr>
        <w:trPr>
          <w:trHeight w:val="450" w:hRule="atLeast"/>
        </w:trPr>
        <w:tc>
          <w:tcPr>
            <w:tcW w:w="96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>Операційна ціль. Розвиток будівництва.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 Сприяння вирішенню житлової проблеми</w:t>
            </w:r>
          </w:p>
        </w:tc>
        <w:tc>
          <w:tcPr>
            <w:tcW w:w="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rPr>
          <w:trHeight w:val="659" w:hRule="atLeast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keepNext/>
              <w:tabs>
                <w:tab w:val="left" w:pos="420" w:leader="none"/>
              </w:tabs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>Розв’язання житлових проблем населення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Поліпшення житлових умов громадян, які їх потребують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Отримання технічного висновку про технічний стан будівельних конструкцій будівлі житлового будинку по вул. Пушкіна, 130 в м. Каховка —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36,0 тис. грн.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Style17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Виконавчий комітет Каховської міської ради</w:t>
            </w:r>
          </w:p>
        </w:tc>
        <w:tc>
          <w:tcPr>
            <w:tcW w:w="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yellow"/>
              </w:rPr>
            </w:r>
          </w:p>
        </w:tc>
      </w:tr>
      <w:tr>
        <w:trPr>
          <w:trHeight w:val="479" w:hRule="atLeast"/>
        </w:trPr>
        <w:tc>
          <w:tcPr>
            <w:tcW w:w="96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keepNext/>
              <w:tabs>
                <w:tab w:val="left" w:pos="420" w:leader="none"/>
              </w:tabs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>Операційна ціль.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</w:rPr>
              <w:t>Розвиток освіти, культури і духовності</w:t>
            </w:r>
          </w:p>
        </w:tc>
        <w:tc>
          <w:tcPr>
            <w:tcW w:w="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yellow"/>
              </w:rPr>
            </w:r>
          </w:p>
        </w:tc>
      </w:tr>
      <w:tr>
        <w:trPr>
          <w:trHeight w:val="659" w:hRule="atLeast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keepNext/>
              <w:shd w:val="clear" w:fill="FFFFFF"/>
              <w:tabs>
                <w:tab w:val="left" w:pos="993" w:leader="none"/>
              </w:tabs>
              <w:suppressAutoHyphens w:val="false"/>
              <w:snapToGrid w:val="false"/>
              <w:ind w:left="0"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>Зміцнення та оновлення матеріально-технічної бази закладів освіти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Надання загальної освіти загальноосвітнім навчальним закладам (в т.ч. школою — дитячим садком, інтернатом при школі) спеціалізованими школами, ліцеями, гімназіями, колегіумами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Придбання обладнання для оснащення ресурсних кімнат за рахунок залишку коштів освітньої субвенції —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156,922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тис. грн.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Управління освіти міської ради</w:t>
            </w:r>
          </w:p>
        </w:tc>
        <w:tc>
          <w:tcPr>
            <w:tcW w:w="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 xml:space="preserve">3) внести зміни в Розділ додатку 3 Програми,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bidi="ar-SA"/>
        </w:rPr>
        <w:t>а саме викласти перелік заходів у наступній редакції:</w:t>
      </w:r>
    </w:p>
    <w:p>
      <w:pPr>
        <w:pStyle w:val="Normal"/>
        <w:ind w:firstLine="709"/>
        <w:jc w:val="both"/>
        <w:rPr>
          <w:rFonts w:eastAsia="Batang"/>
          <w:bCs/>
          <w:highlight w:val="white"/>
          <w:lang w:bidi="ar-SA"/>
        </w:rPr>
      </w:pPr>
      <w:r>
        <w:rPr>
          <w:rFonts w:eastAsia="Batang"/>
          <w:bCs/>
          <w:highlight w:val="white"/>
          <w:lang w:bidi="ar-SA"/>
        </w:rPr>
      </w:r>
    </w:p>
    <w:tbl>
      <w:tblPr>
        <w:tblW w:w="9645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989"/>
        <w:gridCol w:w="2167"/>
        <w:gridCol w:w="1250"/>
        <w:gridCol w:w="2560"/>
        <w:gridCol w:w="1679"/>
      </w:tblGrid>
      <w:tr>
        <w:trPr>
          <w:trHeight w:val="659" w:hRule="atLeast"/>
        </w:trPr>
        <w:tc>
          <w:tcPr>
            <w:tcW w:w="96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keepNext/>
              <w:tabs>
                <w:tab w:val="left" w:pos="420" w:leader="none"/>
              </w:tabs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>Операційна ціль.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highlight w:val="white"/>
              </w:rPr>
              <w:t>Розбудова та модернізація транспортної інфраструктури, логістики.</w:t>
            </w:r>
          </w:p>
        </w:tc>
      </w:tr>
      <w:tr>
        <w:trPr>
          <w:trHeight w:val="659" w:hRule="atLeast"/>
        </w:trPr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Поліпшення якості дорожньої транспортної інфраструктури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Проведення поточного ремонту асфальтобетонного покриття міських вулиць, поточного ремонту тротуарів, грейдування доріг, утримання та ремонт світлофорів, вуличного освітлення (з придбанням необхідних матеріалів), нанесення дорожньої розмітки, ремонт автобусних зупинок –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>2500,0 тис. грн.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Протягом року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Забезпечення безпеки руху та якості перевезень пасажирів і вантажів на автодорогах місцевого значення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КП “Комунальне транспортне підприємство”</w:t>
            </w:r>
          </w:p>
        </w:tc>
      </w:tr>
    </w:tbl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4) Доповнити додаток 7 заходів Програми наступним пунктом та змістом: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  <w:r>
        <w:rPr>
          <w:rFonts w:cs="Times New Roman" w:ascii="Times New Roman" w:hAnsi="Times New Roman"/>
          <w:sz w:val="26"/>
          <w:szCs w:val="26"/>
          <w:highlight w:val="yellow"/>
          <w:lang w:val="uk-UA"/>
        </w:rPr>
      </w:r>
    </w:p>
    <w:tbl>
      <w:tblPr>
        <w:tblW w:w="9645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</w:tblPr>
      <w:tblGrid>
        <w:gridCol w:w="494"/>
        <w:gridCol w:w="7951"/>
        <w:gridCol w:w="1200"/>
      </w:tblGrid>
      <w:tr>
        <w:trPr/>
        <w:tc>
          <w:tcPr>
            <w:tcW w:w="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</w:rPr>
              <w:t>№</w:t>
            </w:r>
          </w:p>
          <w:p>
            <w:pPr>
              <w:pStyle w:val="Normal"/>
              <w:spacing w:lineRule="auto" w:line="240" w:before="0" w:after="46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з/п</w:t>
            </w:r>
          </w:p>
        </w:tc>
        <w:tc>
          <w:tcPr>
            <w:tcW w:w="7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6"/>
                <w:szCs w:val="26"/>
                <w:highlight w:val="white"/>
              </w:rPr>
              <w:t>Зміст заходу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Сума</w:t>
            </w:r>
          </w:p>
          <w:p>
            <w:pPr>
              <w:pStyle w:val="Normal"/>
              <w:spacing w:lineRule="auto" w:line="240" w:before="0" w:after="46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коштів,</w:t>
            </w:r>
          </w:p>
          <w:p>
            <w:pPr>
              <w:pStyle w:val="Normal"/>
              <w:spacing w:lineRule="auto" w:line="240" w:before="0" w:after="46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тис.грн.</w:t>
            </w:r>
          </w:p>
        </w:tc>
      </w:tr>
      <w:tr>
        <w:trPr>
          <w:trHeight w:val="447" w:hRule="atLeast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3.</w:t>
            </w:r>
          </w:p>
        </w:tc>
        <w:tc>
          <w:tcPr>
            <w:tcW w:w="7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Субвенція районному бюджету на поточний ремонт фіброгастроскопа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pacing w:lineRule="auto" w:line="240" w:before="0" w:after="46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47,0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 xml:space="preserve">2. Відповідальність за виконання цього рішення покласти на заступника міського голови з питань діяльності виконавчих органів ради Орєхова І.М. </w:t>
      </w:r>
    </w:p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Міський голова</w:t>
        <w:tab/>
        <w:tab/>
        <w:tab/>
        <w:tab/>
        <w:t xml:space="preserve">            </w:t>
        <w:tab/>
        <w:tab/>
        <w:t xml:space="preserve">А.А. Дяченко </w:t>
      </w:r>
    </w:p>
    <w:p>
      <w:pPr>
        <w:pStyle w:val="Normal"/>
        <w:spacing w:lineRule="auto" w:line="228"/>
        <w:ind w:firstLine="149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0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eastAsia="Arial Unicode MS"/>
      <w:b/>
      <w:szCs w:val="24"/>
      <w:lang w:val="uk-UA"/>
    </w:rPr>
  </w:style>
  <w:style w:type="paragraph" w:styleId="3">
    <w:name w:val="Heading 3"/>
    <w:basedOn w:val="Normal"/>
    <w:next w:val="Normal"/>
    <w:qFormat/>
    <w:pPr>
      <w:keepNext/>
      <w:numPr>
        <w:ilvl w:val="0"/>
        <w:numId w:val="2"/>
      </w:numPr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>
      <w:rFonts w:cs="Liberation Serif;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19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LibreOffice/5.1.6.2$Linux_x86 LibreOffice_project/10m0$Build-2</Application>
  <Pages>3</Pages>
  <Words>550</Words>
  <Characters>3621</Characters>
  <CharactersWithSpaces>4195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2019-08-20T05:06:00Z</dcterms:created>
  <dc:creator>Перемежко</dc:creator>
  <dc:description/>
  <dc:language>uk-UA</dc:language>
  <cp:lastModifiedBy/>
  <cp:lastPrinted>2019-08-29T15:23:08Z</cp:lastPrinted>
  <dcterms:modified xsi:type="dcterms:W3CDTF">2019-09-02T11:10:13Z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