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5AF" w:rsidRDefault="006739DA" w:rsidP="001511A2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39DA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:rsidR="006739DA" w:rsidRDefault="006739DA" w:rsidP="001511A2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річного плану ліцензованої діяльності з централізованого водопостачання та централізованого водовідведення комунального виробничого управління «Каховський водоканал» на 12 місяців 2021 року (з 01.01.2021-31.12.2021)</w:t>
      </w:r>
    </w:p>
    <w:p w:rsidR="006739DA" w:rsidRDefault="006739DA" w:rsidP="006739DA">
      <w:pPr>
        <w:spacing w:after="0" w:line="288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739DA" w:rsidRDefault="006739DA" w:rsidP="001511A2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Річний план господарської діяльності з централізованого водопостачання та централізованого водовідведення на 2021 рік </w:t>
      </w:r>
      <w:r w:rsidR="00DE2E4D">
        <w:rPr>
          <w:rFonts w:ascii="Times New Roman" w:hAnsi="Times New Roman" w:cs="Times New Roman"/>
          <w:sz w:val="28"/>
          <w:szCs w:val="28"/>
          <w:lang w:val="uk-UA"/>
        </w:rPr>
        <w:t xml:space="preserve">складений відповідно до пункту 10 Порядку формування тарифів на централізоване водопостачання та централізоване водовідведення, затверджено постановою </w:t>
      </w:r>
      <w:r w:rsidR="0003575F">
        <w:rPr>
          <w:rFonts w:ascii="Times New Roman" w:hAnsi="Times New Roman" w:cs="Times New Roman"/>
          <w:sz w:val="28"/>
          <w:szCs w:val="28"/>
          <w:lang w:val="uk-UA"/>
        </w:rPr>
        <w:t xml:space="preserve">Кабінету Міністрів України від 1 червня 2011 № 869. </w:t>
      </w:r>
    </w:p>
    <w:p w:rsidR="0003575F" w:rsidRDefault="0003575F" w:rsidP="001511A2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Річний план господарської діяльності з централізованого водопостачання та централізованого водовідведення на 2021 рік складений на підставі фактичних за останні п’ять років та п</w:t>
      </w:r>
      <w:r w:rsidR="000A555C">
        <w:rPr>
          <w:rFonts w:ascii="Times New Roman" w:hAnsi="Times New Roman" w:cs="Times New Roman"/>
          <w:sz w:val="28"/>
          <w:szCs w:val="28"/>
          <w:lang w:val="uk-UA"/>
        </w:rPr>
        <w:t>ланових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обсягів централізованого водопостачання та централізованого водовідведення. </w:t>
      </w:r>
    </w:p>
    <w:p w:rsidR="002A2C91" w:rsidRDefault="0003575F" w:rsidP="001511A2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A0C9E">
        <w:rPr>
          <w:rFonts w:ascii="Times New Roman" w:hAnsi="Times New Roman" w:cs="Times New Roman"/>
          <w:sz w:val="28"/>
          <w:szCs w:val="28"/>
          <w:lang w:val="uk-UA"/>
        </w:rPr>
        <w:t xml:space="preserve">Рівень поточних індивідуальних технологічних нормативів втрат і витрат питної води запланований відповідно до поточних індивідуальних технологічних нормативів, які затверджені рішенням виконавчого комітету Каховської міської ради </w:t>
      </w:r>
      <w:r w:rsidR="002A2C91">
        <w:rPr>
          <w:rFonts w:ascii="Times New Roman" w:hAnsi="Times New Roman" w:cs="Times New Roman"/>
          <w:sz w:val="28"/>
          <w:szCs w:val="28"/>
          <w:lang w:val="uk-UA"/>
        </w:rPr>
        <w:t>від 10.10.2017 № 250</w:t>
      </w:r>
      <w:r w:rsidR="008D57FB">
        <w:rPr>
          <w:rFonts w:ascii="Times New Roman" w:hAnsi="Times New Roman" w:cs="Times New Roman"/>
          <w:sz w:val="28"/>
          <w:szCs w:val="28"/>
          <w:lang w:val="uk-UA"/>
        </w:rPr>
        <w:t xml:space="preserve">, а саме: втрати та необліковані витрати питної води становлять – 29,84%, витрати питної води </w:t>
      </w:r>
      <w:r w:rsidR="000A555C">
        <w:rPr>
          <w:rFonts w:ascii="Times New Roman" w:hAnsi="Times New Roman" w:cs="Times New Roman"/>
          <w:sz w:val="28"/>
          <w:szCs w:val="28"/>
          <w:lang w:val="uk-UA"/>
        </w:rPr>
        <w:t xml:space="preserve">на власні потреби </w:t>
      </w:r>
      <w:r w:rsidR="008D57FB">
        <w:rPr>
          <w:rFonts w:ascii="Times New Roman" w:hAnsi="Times New Roman" w:cs="Times New Roman"/>
          <w:sz w:val="28"/>
          <w:szCs w:val="28"/>
          <w:lang w:val="uk-UA"/>
        </w:rPr>
        <w:t>– 3,68%.</w:t>
      </w:r>
    </w:p>
    <w:p w:rsidR="001511A2" w:rsidRDefault="002A2C91" w:rsidP="001511A2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A555C">
        <w:rPr>
          <w:rFonts w:ascii="Times New Roman" w:hAnsi="Times New Roman" w:cs="Times New Roman"/>
          <w:sz w:val="28"/>
          <w:szCs w:val="28"/>
          <w:lang w:val="uk-UA"/>
        </w:rPr>
        <w:t xml:space="preserve">Плановий підйом води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2021 рік </w:t>
      </w:r>
      <w:r w:rsidR="000A555C">
        <w:rPr>
          <w:rFonts w:ascii="Times New Roman" w:hAnsi="Times New Roman" w:cs="Times New Roman"/>
          <w:sz w:val="28"/>
          <w:szCs w:val="28"/>
          <w:lang w:val="uk-UA"/>
        </w:rPr>
        <w:t xml:space="preserve">розрахований </w:t>
      </w:r>
      <w:r>
        <w:rPr>
          <w:rFonts w:ascii="Times New Roman" w:hAnsi="Times New Roman" w:cs="Times New Roman"/>
          <w:sz w:val="28"/>
          <w:szCs w:val="28"/>
          <w:lang w:val="uk-UA"/>
        </w:rPr>
        <w:t>у кількості 3128,7 тис. м</w:t>
      </w:r>
      <w:r w:rsidRPr="002A2C9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A2C91" w:rsidRDefault="001511A2" w:rsidP="0003575F">
      <w:pPr>
        <w:spacing w:after="0" w:line="288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059B5941" wp14:editId="2007DA5A">
            <wp:extent cx="5920740" cy="3208020"/>
            <wp:effectExtent l="0" t="0" r="3810" b="114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2A2C91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A2C91" w:rsidRDefault="00414BDF" w:rsidP="001511A2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</w:t>
      </w:r>
      <w:proofErr w:type="spellEnd"/>
      <w:r w:rsidR="001511A2">
        <w:rPr>
          <w:rFonts w:ascii="Times New Roman" w:hAnsi="Times New Roman" w:cs="Times New Roman"/>
          <w:sz w:val="28"/>
          <w:szCs w:val="28"/>
          <w:lang w:val="uk-UA"/>
        </w:rPr>
        <w:t>. 1 Динаміка підйому води за період 2015-2020 роки</w:t>
      </w:r>
    </w:p>
    <w:p w:rsidR="00C25947" w:rsidRDefault="001511A2" w:rsidP="00C2594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1A2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Математична модель побудови прогнозних показників 2021 року побудована </w:t>
      </w:r>
      <w:r w:rsidR="000A555C">
        <w:rPr>
          <w:rFonts w:ascii="Times New Roman" w:hAnsi="Times New Roman" w:cs="Times New Roman"/>
          <w:sz w:val="28"/>
          <w:szCs w:val="28"/>
          <w:lang w:val="uk-UA"/>
        </w:rPr>
        <w:t xml:space="preserve">за методикою </w:t>
      </w:r>
      <w:r w:rsidRPr="001511A2">
        <w:rPr>
          <w:rFonts w:ascii="Times New Roman" w:hAnsi="Times New Roman" w:cs="Times New Roman"/>
          <w:sz w:val="28"/>
          <w:szCs w:val="28"/>
          <w:lang w:val="uk-UA"/>
        </w:rPr>
        <w:t xml:space="preserve"> кореляційного аналізу за яким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утворюється </w:t>
      </w:r>
      <w:r w:rsidRPr="001511A2">
        <w:rPr>
          <w:rFonts w:ascii="Times New Roman" w:hAnsi="Times New Roman" w:cs="Times New Roman"/>
          <w:sz w:val="28"/>
          <w:szCs w:val="28"/>
          <w:lang w:val="uk-UA"/>
        </w:rPr>
        <w:t xml:space="preserve">зв'язок між статистичними змінними </w:t>
      </w:r>
      <w:r w:rsidRPr="001511A2">
        <w:rPr>
          <w:rFonts w:ascii="Times New Roman" w:hAnsi="Times New Roman" w:cs="Times New Roman"/>
          <w:i/>
          <w:sz w:val="28"/>
          <w:szCs w:val="28"/>
          <w:lang w:val="uk-UA"/>
        </w:rPr>
        <w:t>x</w:t>
      </w:r>
      <w:r w:rsidRPr="001511A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1511A2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якому при зміні ознаки </w:t>
      </w:r>
      <w:r w:rsidRPr="001511A2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1511A2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змінюється середнє значення оцінки </w:t>
      </w:r>
      <w:proofErr w:type="spellStart"/>
      <w:r w:rsidRPr="001511A2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1511A2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End"/>
      <w:r w:rsidR="00C25947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C25947" w:rsidRPr="00C25947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мінна  </w:t>
      </w:r>
      <w:r w:rsidRPr="001511A2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1511A2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факторна ознака, яка відповідає значенню часового ряду, а</w:t>
      </w:r>
      <w:r w:rsidR="00C25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5947" w:rsidRPr="001511A2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C25947" w:rsidRPr="001511A2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5947">
        <w:rPr>
          <w:rFonts w:ascii="Times New Roman" w:hAnsi="Times New Roman" w:cs="Times New Roman"/>
          <w:sz w:val="28"/>
          <w:szCs w:val="28"/>
          <w:lang w:val="uk-UA"/>
        </w:rPr>
        <w:t>– результуюча змінна, яка буде відповідати за планові обсяги натуральних показників (обсяг підйому, обсяг реалізації, обсяг стічних вод).</w:t>
      </w:r>
      <w:r w:rsidR="00E11D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5947" w:rsidRDefault="00C25947" w:rsidP="00C2594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Надалі вважатимемо, що зв'язок між ознаками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2594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C259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є лінійним і описується лінійним рівнянням регресії:</w:t>
      </w:r>
    </w:p>
    <w:p w:rsidR="00C25947" w:rsidRDefault="00C25947" w:rsidP="00C2594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2C91" w:rsidRDefault="00C25947" w:rsidP="00C25947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y=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x+ε</m:t>
          </m:r>
        </m:oMath>
      </m:oMathPara>
    </w:p>
    <w:p w:rsidR="00C25947" w:rsidRPr="00C25947" w:rsidRDefault="00C25947" w:rsidP="0003575F">
      <w:pPr>
        <w:spacing w:after="0" w:line="288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2594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A2C91" w:rsidRDefault="00C25947" w:rsidP="0003575F">
      <w:pPr>
        <w:spacing w:after="0" w:line="288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C25947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r w:rsidRPr="00C25947">
        <w:rPr>
          <w:rFonts w:ascii="Times New Roman" w:hAnsi="Times New Roman" w:cs="Times New Roman"/>
          <w:i/>
          <w:sz w:val="28"/>
          <w:szCs w:val="28"/>
          <w:lang w:val="uk-UA"/>
        </w:rPr>
        <w:t>y</w:t>
      </w:r>
      <w:r w:rsidRPr="00C25947">
        <w:rPr>
          <w:rFonts w:ascii="Times New Roman" w:hAnsi="Times New Roman" w:cs="Times New Roman"/>
          <w:sz w:val="28"/>
          <w:szCs w:val="28"/>
          <w:lang w:val="uk-UA"/>
        </w:rPr>
        <w:t xml:space="preserve"> – результуюча змінна</w:t>
      </w:r>
      <w:r w:rsidR="000A555C">
        <w:rPr>
          <w:rFonts w:ascii="Times New Roman" w:hAnsi="Times New Roman" w:cs="Times New Roman"/>
          <w:sz w:val="28"/>
          <w:szCs w:val="28"/>
          <w:lang w:val="uk-UA"/>
        </w:rPr>
        <w:t xml:space="preserve"> яка буде відповідати за прогнозовані обсяги</w:t>
      </w:r>
      <w:r w:rsidRPr="00C2594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β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β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sub>
        </m:sSub>
      </m:oMath>
      <w:r w:rsidRPr="00C2594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параметри рівняння регресії; </w:t>
      </w:r>
      <w:r w:rsidRPr="00C25947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x</w:t>
      </w:r>
      <w:r w:rsidRPr="00C2594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факторна ознака;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ε</m:t>
        </m:r>
      </m:oMath>
      <w:r w:rsidR="00E11D2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випадкова величина.</w:t>
      </w:r>
    </w:p>
    <w:p w:rsidR="004566A8" w:rsidRDefault="00E11D21" w:rsidP="00F912AB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 xml:space="preserve">За умови використання програмних продуктів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MS</w:t>
      </w:r>
      <w:r w:rsidRPr="00E11D2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Excel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прогнозовані обсяги на 2021 рік можна побудувати за допомогою електронного інструментарію</w:t>
      </w:r>
      <w:r w:rsidR="0079623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Розрахунки прогнозних показників </w:t>
      </w:r>
      <w:r w:rsidR="004566A8">
        <w:rPr>
          <w:rFonts w:ascii="Times New Roman" w:eastAsiaTheme="minorEastAsia" w:hAnsi="Times New Roman" w:cs="Times New Roman"/>
          <w:sz w:val="28"/>
          <w:szCs w:val="28"/>
          <w:lang w:val="uk-UA"/>
        </w:rPr>
        <w:t>розраховувалися за двома методиками:</w:t>
      </w:r>
    </w:p>
    <w:p w:rsidR="004566A8" w:rsidRPr="00414BDF" w:rsidRDefault="004566A8" w:rsidP="00414BDF">
      <w:pPr>
        <w:pStyle w:val="a6"/>
        <w:numPr>
          <w:ilvl w:val="0"/>
          <w:numId w:val="1"/>
        </w:num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14BD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побудові лінії тренду на графіку статистичних даних з побудовою лінійного рівняння типу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y=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β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β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x+ε</m:t>
        </m:r>
      </m:oMath>
      <w:r w:rsidRPr="00414BD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</w:t>
      </w:r>
      <w:r w:rsidR="00E33CDB" w:rsidRPr="00414BDF">
        <w:rPr>
          <w:rFonts w:ascii="Times New Roman" w:eastAsiaTheme="minorEastAsia" w:hAnsi="Times New Roman" w:cs="Times New Roman"/>
          <w:sz w:val="28"/>
          <w:szCs w:val="28"/>
          <w:lang w:val="uk-UA"/>
        </w:rPr>
        <w:t>гіпотеза</w:t>
      </w:r>
      <w:r w:rsidRPr="00414BD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1);</w:t>
      </w:r>
    </w:p>
    <w:p w:rsidR="00E33CDB" w:rsidRPr="00414BDF" w:rsidRDefault="00E33CDB" w:rsidP="00414BDF">
      <w:pPr>
        <w:pStyle w:val="a6"/>
        <w:numPr>
          <w:ilvl w:val="0"/>
          <w:numId w:val="1"/>
        </w:num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14BDF">
        <w:rPr>
          <w:rFonts w:ascii="Times New Roman" w:eastAsiaTheme="minorEastAsia" w:hAnsi="Times New Roman" w:cs="Times New Roman"/>
          <w:sz w:val="28"/>
          <w:szCs w:val="28"/>
          <w:lang w:val="uk-UA"/>
        </w:rPr>
        <w:t>за допомогою функції</w:t>
      </w:r>
      <w:r w:rsidR="004566A8" w:rsidRPr="00414BD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ТЕНДЕЦИЯ, яка </w:t>
      </w:r>
      <w:r w:rsidRPr="00414BDF">
        <w:rPr>
          <w:rFonts w:ascii="Times New Roman" w:eastAsiaTheme="minorEastAsia" w:hAnsi="Times New Roman" w:cs="Times New Roman"/>
          <w:sz w:val="28"/>
          <w:szCs w:val="28"/>
          <w:lang w:val="uk-UA"/>
        </w:rPr>
        <w:t>апроксимує</w:t>
      </w:r>
      <w:r w:rsidR="004566A8" w:rsidRPr="00414BD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лінійний тренд </w:t>
      </w:r>
      <w:r w:rsidRPr="00414BDF">
        <w:rPr>
          <w:rFonts w:ascii="Times New Roman" w:eastAsiaTheme="minorEastAsia" w:hAnsi="Times New Roman" w:cs="Times New Roman"/>
          <w:sz w:val="28"/>
          <w:szCs w:val="28"/>
          <w:lang w:val="uk-UA"/>
        </w:rPr>
        <w:t>до середнього значення (гіпотеза 2).</w:t>
      </w:r>
    </w:p>
    <w:p w:rsidR="00E33CDB" w:rsidRDefault="00E33CDB" w:rsidP="004566A8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 xml:space="preserve">За розрахунками розбіжності, які виникали між </w:t>
      </w:r>
      <w:r w:rsidR="000A555C">
        <w:rPr>
          <w:rFonts w:ascii="Times New Roman" w:eastAsiaTheme="minorEastAsia" w:hAnsi="Times New Roman" w:cs="Times New Roman"/>
          <w:sz w:val="28"/>
          <w:szCs w:val="28"/>
          <w:lang w:val="uk-UA"/>
        </w:rPr>
        <w:t>гіпотетичним</w:t>
      </w:r>
      <w:r w:rsidR="00414BD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значення</w:t>
      </w:r>
      <w:r w:rsidR="000A555C">
        <w:rPr>
          <w:rFonts w:ascii="Times New Roman" w:eastAsiaTheme="minorEastAsia" w:hAnsi="Times New Roman" w:cs="Times New Roman"/>
          <w:sz w:val="28"/>
          <w:szCs w:val="28"/>
          <w:lang w:val="uk-UA"/>
        </w:rPr>
        <w:t>м</w:t>
      </w:r>
      <w:r w:rsidR="00414BD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1 та гіпотетичним значенням 2 були незначними, отже результат розрахунку прогнозованих обсягів можна вважати коректним. До річного плану ліцензованої діяльності з централізованого водопостачання та водовідведення на 2021 рік перевага надавалася найбільшому прогнозованому значенню (позитивний прогноз).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414BDF" w:rsidRPr="008D57FB" w:rsidRDefault="00414BDF" w:rsidP="004566A8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 xml:space="preserve">На малюнку 1 зображений графік підйому підземної води з артезіанських свердловин Каховського родовища за п’ятирічний період. </w:t>
      </w:r>
      <w:r w:rsidR="00415109">
        <w:rPr>
          <w:rFonts w:ascii="Times New Roman" w:eastAsiaTheme="minorEastAsia" w:hAnsi="Times New Roman" w:cs="Times New Roman"/>
          <w:sz w:val="28"/>
          <w:szCs w:val="28"/>
          <w:lang w:val="uk-UA"/>
        </w:rPr>
        <w:t>З графіку видно, що у середньому обсяг піднятої підземної води за п’ятирічний період зменшився, та має тенденцію до падіння</w:t>
      </w:r>
      <w:r w:rsidR="008D57F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Коефіцієнт регресії </w:t>
      </w:r>
      <w:r w:rsidR="008D57FB" w:rsidRPr="008D57FB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</w:t>
      </w:r>
      <w:r w:rsidR="008D57FB" w:rsidRPr="008D57F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="008D57FB" w:rsidRPr="008D57FB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1</w:t>
      </w:r>
      <w:r w:rsidR="008D57FB" w:rsidRPr="008D57FB">
        <w:rPr>
          <w:rFonts w:ascii="Times New Roman" w:eastAsiaTheme="minorEastAsia" w:hAnsi="Times New Roman" w:cs="Times New Roman"/>
          <w:sz w:val="28"/>
          <w:szCs w:val="28"/>
        </w:rPr>
        <w:t>= -1258.3</w:t>
      </w:r>
      <w:r w:rsidR="008D57FB">
        <w:rPr>
          <w:rFonts w:ascii="Times New Roman" w:eastAsiaTheme="minorEastAsia" w:hAnsi="Times New Roman" w:cs="Times New Roman"/>
          <w:sz w:val="28"/>
          <w:szCs w:val="28"/>
        </w:rPr>
        <w:t xml:space="preserve">3 </w:t>
      </w:r>
      <w:r w:rsidR="008D57F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свідчить про те, що з кожним </w:t>
      </w:r>
      <w:r w:rsidR="000A555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календарним </w:t>
      </w:r>
      <w:r w:rsidR="008D57FB">
        <w:rPr>
          <w:rFonts w:ascii="Times New Roman" w:eastAsiaTheme="minorEastAsia" w:hAnsi="Times New Roman" w:cs="Times New Roman"/>
          <w:sz w:val="28"/>
          <w:szCs w:val="28"/>
          <w:lang w:val="uk-UA"/>
        </w:rPr>
        <w:t>місяцем обсяги піднятої води у середньому зменшуються на 1258,33 м</w:t>
      </w:r>
      <w:r w:rsidR="008D57FB" w:rsidRPr="008D57FB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</w:p>
    <w:p w:rsidR="008D57FB" w:rsidRDefault="008D57FB" w:rsidP="004566A8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>Для проведення факторного аналізу показника обсяг</w:t>
      </w:r>
      <w:r w:rsidR="003537CD">
        <w:rPr>
          <w:rFonts w:ascii="Times New Roman" w:eastAsiaTheme="minorEastAsia" w:hAnsi="Times New Roman" w:cs="Times New Roman"/>
          <w:sz w:val="28"/>
          <w:szCs w:val="28"/>
          <w:lang w:val="uk-UA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реалізації послуг централізованого водопостачання визначимо прогнозні показники по категоріям споживачів.</w:t>
      </w:r>
    </w:p>
    <w:p w:rsidR="00D52CD4" w:rsidRDefault="00D02EA4" w:rsidP="004566A8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7E4E55F5" wp14:editId="0FB6B6EC">
            <wp:extent cx="5730240" cy="3535680"/>
            <wp:effectExtent l="0" t="0" r="3810" b="762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02EA4" w:rsidRDefault="00CE6660" w:rsidP="00CE6660">
      <w:pPr>
        <w:spacing w:after="0" w:line="288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Мал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 2 Діаграма структури планових обсягів споживання води у 2021 році</w:t>
      </w:r>
    </w:p>
    <w:p w:rsidR="00D02EA4" w:rsidRDefault="00D02EA4" w:rsidP="004566A8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903CE" w:rsidRDefault="003537CD" w:rsidP="000903CE">
      <w:pPr>
        <w:pStyle w:val="a6"/>
        <w:numPr>
          <w:ilvl w:val="0"/>
          <w:numId w:val="2"/>
        </w:numPr>
        <w:spacing w:after="0" w:line="288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54F2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Населення.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Для планування обсягів реалізації питної води населенню м. Каховка окрім прогнозованих показників визначених за функцією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y=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β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β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x+ε</m:t>
        </m:r>
      </m:oMath>
      <w:r w:rsidR="008D57FB" w:rsidRPr="003537CD"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було виконане коригування прогнозованих показників через залежність обсягів спожитої води від кількості встановлених лічильників. Так у будинках приватного сектору</w:t>
      </w:r>
      <w:r w:rsidR="00320118">
        <w:rPr>
          <w:rFonts w:ascii="Times New Roman" w:eastAsiaTheme="minorEastAsia" w:hAnsi="Times New Roman" w:cs="Times New Roman"/>
          <w:sz w:val="28"/>
          <w:szCs w:val="28"/>
          <w:lang w:val="uk-UA"/>
        </w:rPr>
        <w:t>, які оснащені приладами обліку,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середнє споживання у неполивний період (</w:t>
      </w:r>
      <w:r w:rsidR="00320118">
        <w:rPr>
          <w:rFonts w:ascii="Times New Roman" w:eastAsiaTheme="minorEastAsia" w:hAnsi="Times New Roman" w:cs="Times New Roman"/>
          <w:sz w:val="28"/>
          <w:szCs w:val="28"/>
          <w:lang w:val="uk-UA"/>
        </w:rPr>
        <w:t>жовтень - березень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) у середньому складає 6,5 м</w:t>
      </w:r>
      <w:r w:rsidRPr="003537CD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місяць на одного абонента, натомість у будинках не обладнаних приладами обліку води таке споживання у середньому складає 10,6÷11 м</w:t>
      </w:r>
      <w:r w:rsidRPr="003537CD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 місяць на одного абонента. </w:t>
      </w:r>
      <w:r w:rsidR="00765D8B">
        <w:rPr>
          <w:rFonts w:ascii="Times New Roman" w:eastAsiaTheme="minorEastAsia" w:hAnsi="Times New Roman" w:cs="Times New Roman"/>
          <w:sz w:val="28"/>
          <w:szCs w:val="28"/>
          <w:lang w:val="uk-UA"/>
        </w:rPr>
        <w:t>У багатоповерхових будинках спостерігається аналогічна тенденція, за якою споживання води у квартирах багатоповерхових будинків, які обладнані приладами обліку становить 5,1 м</w:t>
      </w:r>
      <w:r w:rsidR="00765D8B" w:rsidRPr="00765D8B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  <w:r w:rsidR="00765D8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середньому на одного абонента, та відповідно споживання води у квартирах не обладнаних приладами обліку у середньому на одного абонента становить 9,5 м3. За цих обставин можна припустити, що кожний встановлений прилад обліку води зменшує обсяг </w:t>
      </w:r>
      <w:r w:rsidR="000903CE">
        <w:rPr>
          <w:rFonts w:ascii="Times New Roman" w:eastAsiaTheme="minorEastAsia" w:hAnsi="Times New Roman" w:cs="Times New Roman"/>
          <w:sz w:val="28"/>
          <w:szCs w:val="28"/>
          <w:lang w:val="uk-UA"/>
        </w:rPr>
        <w:t>споживання</w:t>
      </w:r>
      <w:r w:rsidR="00765D8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води у середньому на 4,5 м</w:t>
      </w:r>
      <w:r w:rsidR="00765D8B" w:rsidRPr="00765D8B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  <w:r w:rsidR="00765D8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 розрахунку на одного абонента.</w:t>
      </w:r>
      <w:r w:rsidR="000903C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При розрахунку планових обсягів споживання населенням послуги з централізованого водопостачання врахована тенденція зменшення обсягів споживання води у тому числі за рахунок встановлення лічильників, планова кількість яких була визначена у плановому графіку встановлення лічильників у 2021 році за даними відділу збуту КВУ «Каховський водоканал».</w:t>
      </w:r>
    </w:p>
    <w:p w:rsidR="000903CE" w:rsidRDefault="00254203" w:rsidP="000903CE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6728553C" wp14:editId="17D24809">
            <wp:extent cx="5836920" cy="3307080"/>
            <wp:effectExtent l="0" t="0" r="11430" b="762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54203" w:rsidRDefault="00254203" w:rsidP="000903CE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54203" w:rsidRDefault="00CE6660" w:rsidP="00A72172">
      <w:pPr>
        <w:spacing w:after="0" w:line="288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Мал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 3</w:t>
      </w:r>
      <w:r w:rsidR="00A7217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Динаміка реалізації води населенням по категоріям споживачів за 2016-2020 роки</w:t>
      </w:r>
    </w:p>
    <w:p w:rsidR="009D3990" w:rsidRDefault="009D3990" w:rsidP="00E54F21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На графіку реалізації води населенню спостерігаються сезонні коливання споживання води в будинках приватного сектору, а також зниження максимальних пікових значень у 2019-2020 роках порівняно з попередніми періодами. Між тим, динаміка споживання води у багатоповерхових будинках має невелике відхилення від середнього споживання, та має загальну тенденцію до зниження обсягів водоспоживання.</w:t>
      </w:r>
      <w:r w:rsidR="00E54F2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Загалом негативна динаміка зниження обсягів споживання води переважає, адже  коефіцієнт регресії в будинках приватного сектору становить </w:t>
      </w:r>
      <w:r w:rsidR="00E54F21" w:rsidRPr="008D57F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="00E54F21" w:rsidRPr="008D57FB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1</w:t>
      </w:r>
      <w:r w:rsidR="00E54F21" w:rsidRPr="008D57FB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E54F21">
        <w:rPr>
          <w:rFonts w:ascii="Times New Roman" w:eastAsiaTheme="minorEastAsia" w:hAnsi="Times New Roman" w:cs="Times New Roman"/>
          <w:sz w:val="28"/>
          <w:szCs w:val="28"/>
        </w:rPr>
        <w:t xml:space="preserve"> +</w:t>
      </w:r>
      <w:r w:rsidR="00E54F2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54F21">
        <w:rPr>
          <w:rFonts w:ascii="Times New Roman" w:eastAsiaTheme="minorEastAsia" w:hAnsi="Times New Roman" w:cs="Times New Roman"/>
          <w:sz w:val="28"/>
          <w:szCs w:val="28"/>
        </w:rPr>
        <w:t>3,7</w:t>
      </w:r>
      <w:r w:rsidR="00E54F2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507, а в багатоповерхових будинках зменшується </w:t>
      </w:r>
      <w:r w:rsidR="00E54F21" w:rsidRPr="008D57F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="00E54F21" w:rsidRPr="008D57FB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1</w:t>
      </w:r>
      <w:r w:rsidR="00E54F21" w:rsidRPr="008D57FB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E54F21">
        <w:rPr>
          <w:rFonts w:ascii="Times New Roman" w:eastAsiaTheme="minorEastAsia" w:hAnsi="Times New Roman" w:cs="Times New Roman"/>
          <w:sz w:val="28"/>
          <w:szCs w:val="28"/>
        </w:rPr>
        <w:t xml:space="preserve"> -</w:t>
      </w:r>
      <w:r w:rsidR="00E54F2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4,8959. З урахуванням планової кількості встановлених лічильників за рік орієнтоване зниження обсягів споживання води </w:t>
      </w:r>
      <w:r w:rsidR="00320118">
        <w:rPr>
          <w:rFonts w:ascii="Times New Roman" w:eastAsiaTheme="minorEastAsia" w:hAnsi="Times New Roman" w:cs="Times New Roman"/>
          <w:sz w:val="28"/>
          <w:szCs w:val="28"/>
          <w:lang w:val="uk-UA"/>
        </w:rPr>
        <w:t>очікується</w:t>
      </w:r>
      <w:r w:rsidR="00E54F2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на рівні 28 тис м</w:t>
      </w:r>
      <w:r w:rsidR="00E54F21" w:rsidRPr="00E54F21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  <w:r w:rsidR="0032011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і за плановий рік становить 1 484,0 тис.м</w:t>
      </w:r>
      <w:r w:rsidR="00320118" w:rsidRPr="00320118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</w:p>
    <w:p w:rsidR="00E54F21" w:rsidRDefault="00E54F21" w:rsidP="00E54F2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974662" w:rsidRDefault="00E54F21" w:rsidP="00974662">
      <w:pPr>
        <w:spacing w:after="0" w:line="288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54F21">
        <w:rPr>
          <w:rFonts w:ascii="Times New Roman" w:eastAsiaTheme="minorEastAsia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E327A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Комунально-побутове споживання</w:t>
      </w:r>
      <w:r w:rsidRPr="00E54F2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води</w:t>
      </w:r>
      <w:r w:rsidR="00485F7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підприємств міста</w:t>
      </w:r>
      <w:r w:rsidR="004E2233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та бюджетних організацій</w:t>
      </w:r>
      <w:r w:rsidR="000C2A5E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. </w:t>
      </w:r>
      <w:r w:rsidR="000C2A5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Динаміка реалізації обсягів споживання води, які використовуються для комунально-побутових потреб підприємств має сезонний характер і цілком залежить від </w:t>
      </w:r>
      <w:r w:rsidR="0032011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графіку </w:t>
      </w:r>
      <w:r w:rsidR="000C2A5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роботи </w:t>
      </w:r>
      <w:r w:rsidR="0097466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підприємств та фізичних осіб-підприємців. З урахуванням показників обсягів централізованого водопостачання </w:t>
      </w:r>
      <w:r w:rsidR="00320118">
        <w:rPr>
          <w:rFonts w:ascii="Times New Roman" w:eastAsiaTheme="minorEastAsia" w:hAnsi="Times New Roman" w:cs="Times New Roman"/>
          <w:sz w:val="28"/>
          <w:szCs w:val="28"/>
          <w:lang w:val="uk-UA"/>
        </w:rPr>
        <w:t>з 2019 року</w:t>
      </w:r>
      <w:r w:rsidR="0097466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динаміка </w:t>
      </w:r>
      <w:r w:rsidR="004A47F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комунально-побутового </w:t>
      </w:r>
      <w:r w:rsidR="0097466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споживання води підприємствами та фізичними особами-підприємцями має повільну спадаючу динаміку. Загалом очікувана динаміка </w:t>
      </w:r>
      <w:r w:rsidR="00974662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спаду обсягів споживання води</w:t>
      </w:r>
      <w:r w:rsidR="004A47F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для комунально-побутових потреб підприємств</w:t>
      </w:r>
      <w:r w:rsidR="0097466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2021 році становить </w:t>
      </w:r>
      <w:r w:rsidR="00320118">
        <w:rPr>
          <w:rFonts w:ascii="Times New Roman" w:eastAsiaTheme="minorEastAsia" w:hAnsi="Times New Roman" w:cs="Times New Roman"/>
          <w:sz w:val="28"/>
          <w:szCs w:val="28"/>
          <w:lang w:val="uk-UA"/>
        </w:rPr>
        <w:t>очікувано на рівні</w:t>
      </w:r>
      <w:r w:rsidR="0097466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8 тис. м</w:t>
      </w:r>
      <w:r w:rsidR="00974662" w:rsidRPr="00974662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  <w:r w:rsidR="0097466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за рік.</w:t>
      </w:r>
    </w:p>
    <w:p w:rsidR="00974662" w:rsidRDefault="00974662" w:rsidP="00D0280A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204163AA" wp14:editId="079931CD">
            <wp:extent cx="5836920" cy="2727960"/>
            <wp:effectExtent l="0" t="0" r="11430" b="1524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74662" w:rsidRDefault="00974662" w:rsidP="00974662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974662" w:rsidRDefault="00D0280A" w:rsidP="00D0280A">
      <w:pPr>
        <w:spacing w:after="0" w:line="288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Мал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</w:t>
      </w:r>
      <w:r w:rsidR="00CE6660">
        <w:rPr>
          <w:rFonts w:ascii="Times New Roman" w:eastAsiaTheme="minorEastAsia" w:hAnsi="Times New Roman" w:cs="Times New Roman"/>
          <w:sz w:val="28"/>
          <w:szCs w:val="28"/>
          <w:lang w:val="uk-UA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Динаміка реалізації води на комунально-побутові потреби підприємств м. Каховка за 2018-2020 роки</w:t>
      </w:r>
    </w:p>
    <w:p w:rsidR="00320118" w:rsidRDefault="00320118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A7B6B" w:rsidRDefault="008A7B6B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Динаміка споживання води на комунально-побутові потреби бюджетних організацій є досить статичною, без значних відхилень від середнього рівня споживання, з повільним зменшенням обсягів споживання води.</w:t>
      </w:r>
      <w:r w:rsidR="0032011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За розрахунком плановий обсяг споживання води на комунально-побутові потреби бюджетними організаціями м. Каховка становить </w:t>
      </w:r>
      <w:r w:rsidR="00291982">
        <w:rPr>
          <w:rFonts w:ascii="Times New Roman" w:eastAsiaTheme="minorEastAsia" w:hAnsi="Times New Roman" w:cs="Times New Roman"/>
          <w:sz w:val="28"/>
          <w:szCs w:val="28"/>
          <w:lang w:val="uk-UA"/>
        </w:rPr>
        <w:t>86,0 тис. м</w:t>
      </w:r>
      <w:r w:rsidR="00291982" w:rsidRPr="00291982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</w:p>
    <w:p w:rsidR="008A7B6B" w:rsidRDefault="008A7B6B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A7B6B" w:rsidRDefault="00D52CD4" w:rsidP="00D52CD4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5918CF8A" wp14:editId="30DE0FE0">
            <wp:extent cx="5905500" cy="2606040"/>
            <wp:effectExtent l="0" t="0" r="0" b="381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A7B6B" w:rsidRDefault="008A7B6B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D52CD4" w:rsidRDefault="00D52CD4" w:rsidP="00D52CD4">
      <w:pPr>
        <w:spacing w:after="0" w:line="288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Мал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</w:t>
      </w:r>
      <w:r w:rsidR="00CE6660">
        <w:rPr>
          <w:rFonts w:ascii="Times New Roman" w:eastAsiaTheme="minorEastAsia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Динаміка реалізації води на комунально-побутові потреби бюджетних організацій м. Каховка за 2018-2020 роки</w:t>
      </w:r>
    </w:p>
    <w:p w:rsidR="004E2233" w:rsidRDefault="004E2233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E2233" w:rsidRDefault="0055059F" w:rsidP="0055059F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55059F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3.</w:t>
      </w:r>
      <w:r w:rsidR="00E9718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711441" w:rsidRPr="0071144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Промислові потреби підприємств.</w:t>
      </w:r>
      <w:r w:rsidR="0071144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4A47F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Для планування обсягів споживання води, яка використовується для промислових потреб </w:t>
      </w:r>
      <w:r w:rsidR="002A328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підприємств були враховані показники </w:t>
      </w:r>
      <w:r w:rsidR="00291982">
        <w:rPr>
          <w:rFonts w:ascii="Times New Roman" w:eastAsiaTheme="minorEastAsia" w:hAnsi="Times New Roman" w:cs="Times New Roman"/>
          <w:sz w:val="28"/>
          <w:szCs w:val="28"/>
          <w:lang w:val="uk-UA"/>
        </w:rPr>
        <w:t>останніх 4 років</w:t>
      </w:r>
      <w:r w:rsidR="00C02B9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Загальна динаміка споживання води </w:t>
      </w:r>
      <w:r w:rsidR="00F03785">
        <w:rPr>
          <w:rFonts w:ascii="Times New Roman" w:eastAsiaTheme="minorEastAsia" w:hAnsi="Times New Roman" w:cs="Times New Roman"/>
          <w:sz w:val="28"/>
          <w:szCs w:val="28"/>
          <w:lang w:val="uk-UA"/>
        </w:rPr>
        <w:t>використаної для промислових потреб підприємств</w:t>
      </w:r>
      <w:r w:rsidR="0081646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середньому складає 29,6 тис. м</w:t>
      </w:r>
      <w:r w:rsidR="00816465" w:rsidRPr="00816465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  <w:r w:rsidR="0081646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місяць.</w:t>
      </w:r>
      <w:r w:rsidR="00F0378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81646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Така оцінка є завищеною, через наявність випадкових факторів, які штучно впливають на середню оцінку обсягів споживання. Так у вересні 2018 року середній рівень споживання води, яка використовується для промислових потреб </w:t>
      </w:r>
      <w:r w:rsidR="00291982">
        <w:rPr>
          <w:rFonts w:ascii="Times New Roman" w:eastAsiaTheme="minorEastAsia" w:hAnsi="Times New Roman" w:cs="Times New Roman"/>
          <w:sz w:val="28"/>
          <w:szCs w:val="28"/>
          <w:lang w:val="uk-UA"/>
        </w:rPr>
        <w:t>збільшився</w:t>
      </w:r>
      <w:r w:rsidR="0081646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3,8 рази через збільшення обсягів використання питної води з мереж централізованого водопостачання компанією ПрАТ «Чумак» на період переробки сезонної продукції.</w:t>
      </w:r>
    </w:p>
    <w:p w:rsidR="00816465" w:rsidRDefault="00816465" w:rsidP="0055059F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16465" w:rsidRPr="0055059F" w:rsidRDefault="00816465" w:rsidP="0055059F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44722775" wp14:editId="56F5BCB1">
            <wp:extent cx="5669280" cy="3558540"/>
            <wp:effectExtent l="0" t="0" r="7620" b="381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0280A" w:rsidRDefault="00D0280A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974662" w:rsidRDefault="00CE6660" w:rsidP="00816465">
      <w:pPr>
        <w:spacing w:after="0" w:line="288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Мал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 6</w:t>
      </w:r>
      <w:r w:rsidR="0081646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Динаміка реалізації води на промислові потреби підприємств м. Каховка за 2017-2020 роки</w:t>
      </w:r>
    </w:p>
    <w:p w:rsidR="00974662" w:rsidRDefault="00974662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63566" w:rsidRDefault="00170647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Для складання коректних прогнозованих даних необхідно максимальні значення, які збільшують загальну тенденцію динаміки, але є поодинокими, скоригувати до середніх значень. За такими умовами середнє споживання води використаної для промислових потреб підприємств у середньому складає 26,0 тис. м</w:t>
      </w:r>
      <w:r w:rsidRPr="00816465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місяць.   </w:t>
      </w:r>
    </w:p>
    <w:p w:rsidR="00CE6660" w:rsidRDefault="00CE6660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54F21" w:rsidRDefault="00170647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Разом з цим, н</w:t>
      </w:r>
      <w:r w:rsidR="000C2A5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а показник функції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y=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β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β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x+ε</m:t>
        </m:r>
      </m:oMath>
      <w:r w:rsidR="000C2A5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2020 році мав вплив </w:t>
      </w:r>
      <w:r w:rsidR="00D264D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фактор випадковості -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ε</m:t>
        </m:r>
      </m:oMath>
      <w:r w:rsidR="00D264D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За стохастичною змінною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ε</m:t>
        </m:r>
      </m:oMath>
      <w:r w:rsidR="00D264D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яку не можливо було </w:t>
      </w:r>
      <w:r w:rsidR="00D264DA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передбачити у планах </w:t>
      </w:r>
      <w:r w:rsidR="00EE327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споживання води на комунально-побутові </w:t>
      </w:r>
      <w:r w:rsidR="00D264D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на 2020 рік, </w:t>
      </w:r>
      <w:r w:rsidR="00EE327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мав місце вплив </w:t>
      </w:r>
      <w:proofErr w:type="spellStart"/>
      <w:r w:rsidR="00EE327A">
        <w:rPr>
          <w:rFonts w:ascii="Times New Roman" w:eastAsiaTheme="minorEastAsia" w:hAnsi="Times New Roman" w:cs="Times New Roman"/>
          <w:sz w:val="28"/>
          <w:szCs w:val="28"/>
          <w:lang w:val="uk-UA"/>
        </w:rPr>
        <w:t>коронавірусної</w:t>
      </w:r>
      <w:proofErr w:type="spellEnd"/>
      <w:r w:rsidR="00EE327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інфекції </w:t>
      </w:r>
      <w:r w:rsidR="00EE327A">
        <w:rPr>
          <w:rFonts w:ascii="Times New Roman" w:eastAsiaTheme="minorEastAsia" w:hAnsi="Times New Roman" w:cs="Times New Roman"/>
          <w:sz w:val="28"/>
          <w:szCs w:val="28"/>
          <w:lang w:val="en-US"/>
        </w:rPr>
        <w:t>COVID</w:t>
      </w:r>
      <w:r w:rsidR="00EE327A" w:rsidRPr="00EE327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-19, </w:t>
      </w:r>
      <w:r w:rsidR="00EE327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який негативно вплинув на роботу підприємств, та як наслідок </w:t>
      </w:r>
      <w:r w:rsidR="00974662">
        <w:rPr>
          <w:rFonts w:ascii="Times New Roman" w:eastAsiaTheme="minorEastAsia" w:hAnsi="Times New Roman" w:cs="Times New Roman"/>
          <w:sz w:val="28"/>
          <w:szCs w:val="28"/>
          <w:lang w:val="uk-UA"/>
        </w:rPr>
        <w:t>зменшив обсяги</w:t>
      </w:r>
      <w:r w:rsidR="00164A0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споживання</w:t>
      </w:r>
      <w:r w:rsidR="0029198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централізованого водопостачання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У цьому розумінні фактор випадковості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ε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, треба розцінювати як</w:t>
      </w:r>
      <w:r w:rsidR="0097466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множину факторів зовнішнього середовища, які впливають на </w:t>
      </w:r>
      <w:r w:rsidR="004B3B0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еластичність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попит</w:t>
      </w:r>
      <w:r w:rsidR="00164A0A">
        <w:rPr>
          <w:rFonts w:ascii="Times New Roman" w:eastAsiaTheme="minorEastAsia" w:hAnsi="Times New Roman" w:cs="Times New Roman"/>
          <w:sz w:val="28"/>
          <w:szCs w:val="28"/>
          <w:lang w:val="uk-UA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послуги централізованого водопостачання</w:t>
      </w:r>
      <w:r w:rsidR="00164A0A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CE6660" w:rsidRDefault="00CE6660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64A0A" w:rsidRDefault="00164A0A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За цих обставин маємо:</w:t>
      </w:r>
    </w:p>
    <w:p w:rsidR="006F68D2" w:rsidRDefault="00164A0A" w:rsidP="00C12235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множину станів економічного середовища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θ=</m:t>
            </m:r>
            <m:d>
              <m:dPr>
                <m:begChr m:val="{"/>
                <m:endChr m:val="}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θ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,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θ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;….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θ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b>
                </m:sSub>
              </m:e>
            </m:d>
          </m:e>
        </m:d>
      </m:oMath>
      <w:r w:rsidR="00C1223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 де </w:t>
      </w:r>
    </w:p>
    <w:p w:rsidR="00CE6660" w:rsidRDefault="00CE6660" w:rsidP="00C12235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C12235" w:rsidRPr="00C12235" w:rsidRDefault="00C12235" w:rsidP="00C12235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θ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</w:t>
      </w:r>
      <w:r w:rsidR="006F68D2">
        <w:rPr>
          <w:rFonts w:ascii="Times New Roman" w:eastAsiaTheme="minorEastAsia" w:hAnsi="Times New Roman" w:cs="Times New Roman"/>
          <w:sz w:val="28"/>
          <w:szCs w:val="28"/>
          <w:lang w:val="uk-UA"/>
        </w:rPr>
        <w:t>величина обсягу власного виробництва, кількості сировини, макроекономічних показників та ін.</w:t>
      </w:r>
    </w:p>
    <w:p w:rsidR="007573FE" w:rsidRDefault="007573FE" w:rsidP="00C12235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F68D2" w:rsidRDefault="00164A0A" w:rsidP="00C12235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множину станів технологічного середовища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S=</m:t>
            </m:r>
            <m:d>
              <m:dPr>
                <m:begChr m:val="{"/>
                <m:endChr m:val="}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,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;…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n</m:t>
                    </m:r>
                  </m:sub>
                </m:sSub>
              </m:e>
            </m:d>
          </m:e>
        </m:d>
      </m:oMath>
      <w:r w:rsidR="006F68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де </w:t>
      </w:r>
    </w:p>
    <w:p w:rsidR="00CE6660" w:rsidRPr="000A555C" w:rsidRDefault="00CE6660" w:rsidP="00C12235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573FE" w:rsidRDefault="006F68D2" w:rsidP="00C12235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6F68D2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обсяг технологічних втрат у мережах, обсяги підтримання мереж опалення та водопостачання у робочому стані, ремонту виробничих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потужностей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використання власних свердловин. </w:t>
      </w:r>
    </w:p>
    <w:p w:rsidR="007573FE" w:rsidRDefault="007573FE" w:rsidP="00C12235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CF1F61" w:rsidRDefault="006F68D2" w:rsidP="007573F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Отже функціонал оцінювання попиту задається </w:t>
      </w:r>
      <w:r w:rsidR="00CF1F61">
        <w:rPr>
          <w:rFonts w:ascii="Times New Roman" w:eastAsiaTheme="minorEastAsia" w:hAnsi="Times New Roman" w:cs="Times New Roman"/>
          <w:sz w:val="28"/>
          <w:szCs w:val="28"/>
          <w:lang w:val="uk-UA"/>
        </w:rPr>
        <w:t>як:</w:t>
      </w:r>
    </w:p>
    <w:tbl>
      <w:tblPr>
        <w:tblStyle w:val="a7"/>
        <w:tblpPr w:leftFromText="180" w:rightFromText="180" w:vertAnchor="text" w:horzAnchor="page" w:tblpX="6718" w:tblpY="64"/>
        <w:tblW w:w="0" w:type="auto"/>
        <w:tblLook w:val="04A0" w:firstRow="1" w:lastRow="0" w:firstColumn="1" w:lastColumn="0" w:noHBand="0" w:noVBand="1"/>
      </w:tblPr>
      <w:tblGrid>
        <w:gridCol w:w="486"/>
        <w:gridCol w:w="851"/>
        <w:gridCol w:w="509"/>
        <w:gridCol w:w="625"/>
        <w:gridCol w:w="509"/>
        <w:gridCol w:w="532"/>
        <w:gridCol w:w="531"/>
        <w:gridCol w:w="701"/>
      </w:tblGrid>
      <w:tr w:rsidR="00386077" w:rsidTr="007573FE"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6077" w:rsidRPr="007573FE" w:rsidRDefault="00386077" w:rsidP="007573FE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86077" w:rsidRPr="007573FE" w:rsidRDefault="00386077" w:rsidP="007573FE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77" w:rsidRPr="00386077" w:rsidRDefault="00386077" w:rsidP="007573FE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</w:pP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Ɵ</w:t>
            </w: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77" w:rsidRDefault="00386077" w:rsidP="007573FE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…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77" w:rsidRDefault="00386077" w:rsidP="007573FE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Ɵ</w:t>
            </w: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77" w:rsidRDefault="00386077" w:rsidP="007573FE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…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77" w:rsidRDefault="00386077" w:rsidP="007573FE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Ɵ</w:t>
            </w:r>
            <w:r w:rsidR="007573FE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77" w:rsidRDefault="00386077" w:rsidP="007573FE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86077" w:rsidTr="007573FE">
        <w:tc>
          <w:tcPr>
            <w:tcW w:w="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0795F" w:rsidRPr="00386077" w:rsidRDefault="00386077" w:rsidP="007573FE">
            <w:pPr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</w:pP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  <w:p w:rsidR="00386077" w:rsidRPr="00386077" w:rsidRDefault="00386077" w:rsidP="007573FE">
            <w:pPr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</w:pP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…</w:t>
            </w:r>
          </w:p>
          <w:p w:rsidR="00386077" w:rsidRPr="00386077" w:rsidRDefault="00386077" w:rsidP="007573FE">
            <w:pPr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  <w:t>k</w:t>
            </w:r>
            <w:proofErr w:type="spellEnd"/>
          </w:p>
          <w:p w:rsidR="00386077" w:rsidRPr="00386077" w:rsidRDefault="00386077" w:rsidP="007573FE">
            <w:pPr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</w:pP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…</w:t>
            </w:r>
          </w:p>
          <w:p w:rsidR="00386077" w:rsidRPr="00386077" w:rsidRDefault="00386077" w:rsidP="007573FE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425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5F" w:rsidRDefault="00A363B5" w:rsidP="007573FE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11</m:t>
                                  </m:r>
                                </m:sub>
                              </m:sSub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1j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k1</m:t>
                                  </m:r>
                                </m:sub>
                              </m:sSub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kj</m:t>
                                  </m:r>
                                </m:sub>
                              </m:sSub>
                            </m:e>
                          </m:mr>
                        </m: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 xml:space="preserve">   </m:t>
                        </m:r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1n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kn</m:t>
                                  </m:r>
                                </m:sub>
                              </m:sSub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m1</m:t>
                                  </m:r>
                                </m:sub>
                              </m:sSub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mj</m:t>
                                  </m:r>
                                </m:sub>
                              </m:sSub>
                            </m:e>
                          </m:mr>
                          <m:mr>
                            <m:e/>
                            <m:e/>
                            <m:e/>
                          </m:mr>
                        </m: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 xml:space="preserve">   </m:t>
                        </m:r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mn</m:t>
                                  </m:r>
                                </m:sub>
                              </m:sSub>
                            </m:e>
                          </m:mr>
                          <m:mr>
                            <m:e/>
                            <m:e/>
                          </m:mr>
                        </m:m>
                      </m:e>
                    </m:eqArr>
                  </m:e>
                </m:d>
              </m:oMath>
            </m:oMathPara>
          </w:p>
        </w:tc>
      </w:tr>
    </w:tbl>
    <w:p w:rsidR="0030795F" w:rsidRPr="0030795F" w:rsidRDefault="0030795F" w:rsidP="00C12235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30795F" w:rsidRDefault="0030795F" w:rsidP="00C12235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30795F" w:rsidRDefault="0030795F" w:rsidP="00C12235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CF1F61" w:rsidRPr="007573FE" w:rsidRDefault="007573FE" w:rsidP="00C12235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ε=F=F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kj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:k=1,…,m;j=1,…n</m:t>
            </m:r>
          </m:e>
        </m:d>
      </m:oMath>
      <w:r w:rsidR="00CF1F61" w:rsidRPr="007573F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</w:p>
    <w:p w:rsidR="00CF1F61" w:rsidRPr="007573FE" w:rsidRDefault="00CF1F61" w:rsidP="00C12235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CF1F61" w:rsidRPr="007573FE" w:rsidRDefault="00CF1F61" w:rsidP="00C12235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164A0A" w:rsidRDefault="00164A0A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573FE" w:rsidRDefault="00386077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елемент </w:t>
      </w:r>
      <w:r w:rsidRPr="00386077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f</w:t>
      </w:r>
      <w:proofErr w:type="spellStart"/>
      <w:r w:rsidRPr="00386077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kj</w:t>
      </w:r>
      <w:proofErr w:type="spellEnd"/>
      <w:r w:rsidRPr="00386077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це кількісна оцінка попиту </w:t>
      </w:r>
      <w:r w:rsidR="007573FE">
        <w:rPr>
          <w:rFonts w:ascii="Times New Roman" w:eastAsiaTheme="minorEastAsia" w:hAnsi="Times New Roman" w:cs="Times New Roman"/>
          <w:sz w:val="28"/>
          <w:szCs w:val="28"/>
          <w:lang w:val="uk-UA"/>
        </w:rPr>
        <w:t>на обсяг централізованого водопостачання, м</w:t>
      </w:r>
      <w:r w:rsidR="007573FE" w:rsidRPr="007573FE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  <w:r w:rsidR="007573F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за умови, що середовище перебуває у стані </w:t>
      </w:r>
      <w:proofErr w:type="spellStart"/>
      <w:r w:rsidR="007573FE" w:rsidRPr="007573FE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S</w:t>
      </w:r>
      <w:r w:rsidR="007573FE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mn</w:t>
      </w:r>
      <w:proofErr w:type="spellEnd"/>
      <w:r w:rsidR="007573FE" w:rsidRPr="007573FE">
        <w:rPr>
          <w:rFonts w:ascii="Times New Roman" w:eastAsiaTheme="minorEastAsia" w:hAnsi="Times New Roman" w:cs="Times New Roman"/>
          <w:i/>
          <w:sz w:val="28"/>
          <w:szCs w:val="28"/>
        </w:rPr>
        <w:t>,Ɵ</w:t>
      </w:r>
      <w:proofErr w:type="spellStart"/>
      <w:r w:rsidR="007573FE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mn</w:t>
      </w:r>
      <w:proofErr w:type="spellEnd"/>
      <w:r w:rsidR="007573FE"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CE6660" w:rsidRDefault="00CE6660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64A0A" w:rsidRDefault="007573FE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Для визначення планових обсягів споживання питної води на промислові потреби підприємств міста необхідно взяти до уваги фактичні показники структури обсягів споживання води</w:t>
      </w:r>
      <w:r w:rsidR="001729F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 декілька років.</w:t>
      </w:r>
    </w:p>
    <w:p w:rsidR="001729FC" w:rsidRDefault="001729FC" w:rsidP="000C2A5E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CE6660" w:rsidRDefault="00CE6660" w:rsidP="001729FC">
      <w:pPr>
        <w:spacing w:after="0" w:line="288" w:lineRule="auto"/>
        <w:ind w:firstLine="708"/>
        <w:jc w:val="right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A66F4" w:rsidRDefault="005A66F4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br w:type="page"/>
      </w:r>
    </w:p>
    <w:p w:rsidR="001729FC" w:rsidRPr="007573FE" w:rsidRDefault="001729FC" w:rsidP="001729FC">
      <w:pPr>
        <w:spacing w:after="0" w:line="288" w:lineRule="auto"/>
        <w:ind w:firstLine="708"/>
        <w:jc w:val="right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Таблиця 1</w:t>
      </w:r>
    </w:p>
    <w:p w:rsidR="00E54F21" w:rsidRDefault="001729FC" w:rsidP="001729FC">
      <w:pPr>
        <w:spacing w:after="0" w:line="288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Показники структури обсягів споживання води на промислові потреби підприємствами міста Каховка за 2017-2020 роки</w:t>
      </w:r>
    </w:p>
    <w:p w:rsidR="001729FC" w:rsidRDefault="001729FC" w:rsidP="001729FC">
      <w:pPr>
        <w:spacing w:after="0" w:line="288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4106"/>
        <w:gridCol w:w="1276"/>
        <w:gridCol w:w="1276"/>
        <w:gridCol w:w="1417"/>
        <w:gridCol w:w="1276"/>
      </w:tblGrid>
      <w:tr w:rsidR="001729FC" w:rsidRPr="001729FC" w:rsidTr="00CE6660">
        <w:trPr>
          <w:trHeight w:val="348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1729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</w:t>
            </w:r>
            <w:proofErr w:type="spellEnd"/>
            <w:r w:rsidRPr="001729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729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підприємства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729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729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729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729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</w:tr>
      <w:tr w:rsidR="001729FC" w:rsidRPr="001729FC" w:rsidTr="00CE6660">
        <w:trPr>
          <w:trHeight w:val="36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КПТМ  " </w:t>
            </w:r>
            <w:proofErr w:type="spellStart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Каховтеплокомуненерго</w:t>
            </w:r>
            <w:proofErr w:type="spellEnd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1,52%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1,29%</w:t>
            </w:r>
          </w:p>
        </w:tc>
      </w:tr>
      <w:tr w:rsidR="001729FC" w:rsidRPr="001729FC" w:rsidTr="00CE6660">
        <w:trPr>
          <w:trHeight w:val="36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ЗП ТП  "ЗАГОТПРОМТОРГ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0,44%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0,55%</w:t>
            </w:r>
          </w:p>
        </w:tc>
      </w:tr>
      <w:tr w:rsidR="001729FC" w:rsidRPr="001729FC" w:rsidTr="00CE6660">
        <w:trPr>
          <w:trHeight w:val="36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ПрАТ</w:t>
            </w:r>
            <w:proofErr w:type="spellEnd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"КЗЕСО"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9,88%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8,84%</w:t>
            </w:r>
          </w:p>
        </w:tc>
      </w:tr>
      <w:tr w:rsidR="001729FC" w:rsidRPr="001729FC" w:rsidTr="00CE6660">
        <w:trPr>
          <w:trHeight w:val="36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ПрАТ</w:t>
            </w:r>
            <w:proofErr w:type="spellEnd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"Чумак"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31,72%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3,00%</w:t>
            </w:r>
          </w:p>
        </w:tc>
      </w:tr>
      <w:tr w:rsidR="001729FC" w:rsidRPr="001729FC" w:rsidTr="00CE6660">
        <w:trPr>
          <w:trHeight w:val="36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ТОВ "АТ </w:t>
            </w:r>
            <w:proofErr w:type="spellStart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Каргілл</w:t>
            </w:r>
            <w:proofErr w:type="spellEnd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56,46%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41,49%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58,71%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64,71%</w:t>
            </w:r>
          </w:p>
        </w:tc>
      </w:tr>
      <w:tr w:rsidR="001729FC" w:rsidRPr="001729FC" w:rsidTr="00CE6660">
        <w:trPr>
          <w:trHeight w:val="36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"ВВВВ"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12,62%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9,07%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15,39%</w:t>
            </w:r>
          </w:p>
        </w:tc>
      </w:tr>
      <w:tr w:rsidR="001729FC" w:rsidRPr="001729FC" w:rsidTr="00CE6660">
        <w:trPr>
          <w:trHeight w:val="36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"ГЕЛІОС-1"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0,18%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0,23%</w:t>
            </w:r>
          </w:p>
        </w:tc>
      </w:tr>
      <w:tr w:rsidR="001729FC" w:rsidRPr="001729FC" w:rsidTr="00CE6660">
        <w:trPr>
          <w:trHeight w:val="36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"</w:t>
            </w:r>
            <w:proofErr w:type="spellStart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Грін</w:t>
            </w:r>
            <w:proofErr w:type="spellEnd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Тім</w:t>
            </w:r>
            <w:proofErr w:type="spellEnd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2,29%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1,82%</w:t>
            </w:r>
          </w:p>
        </w:tc>
      </w:tr>
      <w:tr w:rsidR="001729FC" w:rsidRPr="001729FC" w:rsidTr="00CE6660">
        <w:trPr>
          <w:trHeight w:val="36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"ОПЕНТЕК"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0,68%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0,82%</w:t>
            </w:r>
          </w:p>
        </w:tc>
      </w:tr>
      <w:tr w:rsidR="001729FC" w:rsidRPr="001729FC" w:rsidTr="00CE6660">
        <w:trPr>
          <w:trHeight w:val="36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"Тройка"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2,92%</w:t>
            </w:r>
          </w:p>
        </w:tc>
      </w:tr>
      <w:tr w:rsidR="001729FC" w:rsidRPr="001729FC" w:rsidTr="00CE6660">
        <w:trPr>
          <w:trHeight w:val="36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Харчокомбінат</w:t>
            </w:r>
            <w:proofErr w:type="spellEnd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proofErr w:type="spellStart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Каховського</w:t>
            </w:r>
            <w:proofErr w:type="spellEnd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proofErr w:type="spellStart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РайСТ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0,99%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0,31%</w:t>
            </w:r>
          </w:p>
        </w:tc>
      </w:tr>
      <w:tr w:rsidR="001729FC" w:rsidRPr="001729FC" w:rsidTr="00CE6660">
        <w:trPr>
          <w:trHeight w:val="36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72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Інші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0,11%</w:t>
            </w:r>
          </w:p>
        </w:tc>
      </w:tr>
      <w:tr w:rsidR="001729FC" w:rsidRPr="001729FC" w:rsidTr="00CE6660">
        <w:trPr>
          <w:trHeight w:val="34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1729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Всього</w:t>
            </w:r>
            <w:proofErr w:type="spellEnd"/>
            <w:r w:rsidRPr="001729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9FC" w:rsidRPr="001729FC" w:rsidRDefault="001729FC" w:rsidP="0017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29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100,00%</w:t>
            </w:r>
          </w:p>
        </w:tc>
      </w:tr>
    </w:tbl>
    <w:p w:rsidR="001729FC" w:rsidRDefault="001729FC" w:rsidP="001729FC">
      <w:pPr>
        <w:spacing w:after="0" w:line="288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CE6660" w:rsidRDefault="001729FC" w:rsidP="00A83BB5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З аналізу структури споживання води на промислові потреби підприємств можна дійти до висновку, що зміни в структурі споживання у бік зменшення стосується м</w:t>
      </w:r>
      <w:r w:rsidR="00291982">
        <w:rPr>
          <w:rFonts w:ascii="Times New Roman" w:eastAsiaTheme="minorEastAsia" w:hAnsi="Times New Roman" w:cs="Times New Roman"/>
          <w:sz w:val="28"/>
          <w:szCs w:val="28"/>
          <w:lang w:val="uk-UA"/>
        </w:rPr>
        <w:t>айже всіх підприємств міста, які пов’язані з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вплив</w:t>
      </w:r>
      <w:r w:rsidR="00291982">
        <w:rPr>
          <w:rFonts w:ascii="Times New Roman" w:eastAsiaTheme="minorEastAsia" w:hAnsi="Times New Roman" w:cs="Times New Roman"/>
          <w:sz w:val="28"/>
          <w:szCs w:val="28"/>
          <w:lang w:val="uk-UA"/>
        </w:rPr>
        <w:t>ом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факторів технологічного та економічного характеру. </w:t>
      </w:r>
    </w:p>
    <w:p w:rsidR="00CE6660" w:rsidRDefault="001729FC" w:rsidP="00CE6660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Структурні зміни у компаній ПрАТ «Чумак», ТОВ «Геліос-1»</w:t>
      </w:r>
      <w:r w:rsidR="00A83BB5">
        <w:rPr>
          <w:rFonts w:ascii="Times New Roman" w:eastAsiaTheme="minorEastAsia" w:hAnsi="Times New Roman" w:cs="Times New Roman"/>
          <w:sz w:val="28"/>
          <w:szCs w:val="28"/>
          <w:lang w:val="uk-UA"/>
        </w:rPr>
        <w:t>, ТОВ «Тройка»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обумовлені споживанням води з власних свердловин,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ПраТ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«КЗЕСО» обсягами, які підтримують систему опалення та водопостачання</w:t>
      </w:r>
      <w:r w:rsidR="00A83BB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робочому стані, ТОВ АТ «Каргілл», ТДВ «Каховське хлібоприймальне підприємство»</w:t>
      </w:r>
      <w:r w:rsidR="00BB1112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="00A83BB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ТОВ «ВВВВ» проведенням ремонту виробництва, </w:t>
      </w:r>
      <w:proofErr w:type="spellStart"/>
      <w:r w:rsidR="00A83BB5">
        <w:rPr>
          <w:rFonts w:ascii="Times New Roman" w:eastAsiaTheme="minorEastAsia" w:hAnsi="Times New Roman" w:cs="Times New Roman"/>
          <w:sz w:val="28"/>
          <w:szCs w:val="28"/>
          <w:lang w:val="uk-UA"/>
        </w:rPr>
        <w:t>теплогенеруючі</w:t>
      </w:r>
      <w:proofErr w:type="spellEnd"/>
      <w:r w:rsidR="00A83BB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компанії несуть втрати води через зношеність тепломереж. </w:t>
      </w:r>
    </w:p>
    <w:p w:rsidR="00BB1112" w:rsidRDefault="00A83BB5" w:rsidP="00CE6660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Разом з цим обсяг виробництва на пряму залежить від кількості замовлень на продукцію підприємства. </w:t>
      </w:r>
      <w:r w:rsidR="00BB1112">
        <w:rPr>
          <w:rFonts w:ascii="Times New Roman" w:eastAsiaTheme="minorEastAsia" w:hAnsi="Times New Roman" w:cs="Times New Roman"/>
          <w:sz w:val="28"/>
          <w:szCs w:val="28"/>
          <w:lang w:val="uk-UA"/>
        </w:rPr>
        <w:t>Оптимально п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ередбачити </w:t>
      </w:r>
      <w:r w:rsidR="0071144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вплив </w:t>
      </w:r>
      <w:r w:rsidR="00BB111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зазначених </w:t>
      </w:r>
      <w:r w:rsidR="0071144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факторів </w:t>
      </w:r>
      <w:r w:rsidR="00BB1112">
        <w:rPr>
          <w:rFonts w:ascii="Times New Roman" w:eastAsiaTheme="minorEastAsia" w:hAnsi="Times New Roman" w:cs="Times New Roman"/>
          <w:sz w:val="28"/>
          <w:szCs w:val="28"/>
          <w:lang w:val="uk-UA"/>
        </w:rPr>
        <w:t>на рівень водоспоживання в майбутньому</w:t>
      </w:r>
      <w:r w:rsidR="008A7B6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не є можливим</w:t>
      </w:r>
      <w:r w:rsidR="00BB1112">
        <w:rPr>
          <w:rFonts w:ascii="Times New Roman" w:eastAsiaTheme="minorEastAsia" w:hAnsi="Times New Roman" w:cs="Times New Roman"/>
          <w:sz w:val="28"/>
          <w:szCs w:val="28"/>
          <w:lang w:val="uk-UA"/>
        </w:rPr>
        <w:t>. За цих обставин плановий рівень споживання води на промислові потреби підприємств був взятий за динамікою двох останніх років, через відсутність значних коливань (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ε→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min⁡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)</m:t>
        </m:r>
      </m:oMath>
      <w:r w:rsidR="00BB1112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D652A" w:rsidRDefault="008D652A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A83BB5" w:rsidRDefault="008D652A" w:rsidP="008D652A">
      <w:pPr>
        <w:spacing w:after="0" w:line="288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mc:AlternateContent>
          <mc:Choice Requires="cx">
            <w:drawing>
              <wp:inline distT="0" distB="0" distL="0" distR="0" wp14:anchorId="153BB1EB" wp14:editId="6418DA4C">
                <wp:extent cx="5920740" cy="3749040"/>
                <wp:effectExtent l="0" t="0" r="3810" b="3810"/>
                <wp:docPr id="5" name="Диаграмма 5"/>
                <wp:cNvGraphicFramePr/>
                <a:graphic xmlns:a="http://schemas.openxmlformats.org/drawingml/2006/main">
                  <a:graphicData uri="http://schemas.microsoft.com/office/drawing/2014/chartex">
                    <c:chart xmlns:c="http://schemas.openxmlformats.org/drawingml/2006/chart" xmlns:r="http://schemas.openxmlformats.org/officeDocument/2006/relationships" r:id="rId14"/>
                  </a:graphicData>
                </a:graphic>
              </wp:inline>
            </w:drawing>
          </mc:Choice>
          <mc:Fallback>
            <w:drawing>
              <wp:inline distT="0" distB="0" distL="0" distR="0" wp14:anchorId="153BB1EB" wp14:editId="6418DA4C">
                <wp:extent cx="5920740" cy="3749040"/>
                <wp:effectExtent l="0" t="0" r="3810" b="3810"/>
                <wp:docPr id="5" name="Диаграмма 5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Диаграмма 5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20740" cy="3749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  <w:r w:rsidR="00BB111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1729FC" w:rsidRDefault="001729FC" w:rsidP="008D652A">
      <w:pPr>
        <w:spacing w:after="0" w:line="288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54F21" w:rsidRDefault="00CE6660" w:rsidP="008D652A">
      <w:pPr>
        <w:spacing w:after="0" w:line="288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Мал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 7</w:t>
      </w:r>
      <w:r w:rsidR="008D652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Структура споживання води на промислові потреби підприємств у 2020 році</w:t>
      </w:r>
    </w:p>
    <w:p w:rsidR="008D652A" w:rsidRDefault="008D652A" w:rsidP="00E54F21">
      <w:pPr>
        <w:spacing w:after="0" w:line="288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D652A" w:rsidRDefault="00CE6660" w:rsidP="008A7B6B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О</w:t>
      </w:r>
      <w:r w:rsidR="008A7B6B">
        <w:rPr>
          <w:rFonts w:ascii="Times New Roman" w:eastAsiaTheme="minorEastAsia" w:hAnsi="Times New Roman" w:cs="Times New Roman"/>
          <w:sz w:val="28"/>
          <w:szCs w:val="28"/>
          <w:lang w:val="uk-UA"/>
        </w:rPr>
        <w:t>чікувана динаміка спаду обсягів споживання води для промислових потреб підприємств у 2021 році може скласти близько 307 тис. м</w:t>
      </w:r>
      <w:r w:rsidR="008A7B6B" w:rsidRPr="00974662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  <w:r w:rsidR="008A7B6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за 2021 рік за умови збереження рівня динаміки попиту у 2021 році за рівнем 2020 року (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ε→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min⁡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)</m:t>
        </m:r>
      </m:oMath>
      <w:r w:rsidR="008A7B6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E6660" w:rsidRDefault="00CE6660" w:rsidP="008A7B6B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72172" w:rsidRDefault="00E002B0" w:rsidP="009D3990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E002B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4.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Обсяги водовідведення</w:t>
      </w:r>
    </w:p>
    <w:p w:rsidR="00E002B0" w:rsidRDefault="00E002B0" w:rsidP="009D3990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E002B0" w:rsidRDefault="00E002B0" w:rsidP="00E002B0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Загальна динаміка обсягів реалізації централізованого водовідведення має досить статичний зміст,</w:t>
      </w:r>
      <w:r w:rsidR="00ED6C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яка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 часі набуває пікових максимальних значень</w:t>
      </w:r>
      <w:r w:rsidR="00ED6C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певні проміжки часу (серпень – вересень)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</w:t>
      </w:r>
    </w:p>
    <w:p w:rsidR="00366E01" w:rsidRDefault="00E002B0" w:rsidP="00ED6CCA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Якщо проаналізувати </w:t>
      </w:r>
      <w:r w:rsidR="00ED6C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залежність між обсягами централізованого водопостачання та обсягами централізованого водовідведення, то за категоріями </w:t>
      </w:r>
      <w:r w:rsidR="00366E0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споживачів населення та комунально-побутовими водами </w:t>
      </w:r>
      <w:r w:rsidR="00ED6CCA">
        <w:rPr>
          <w:rFonts w:ascii="Times New Roman" w:eastAsiaTheme="minorEastAsia" w:hAnsi="Times New Roman" w:cs="Times New Roman"/>
          <w:sz w:val="28"/>
          <w:szCs w:val="28"/>
          <w:lang w:val="uk-UA"/>
        </w:rPr>
        <w:t>виникає пряма пропорційна залежність, а саме</w:t>
      </w:r>
      <w:r w:rsidR="00366E01">
        <w:rPr>
          <w:rFonts w:ascii="Times New Roman" w:eastAsiaTheme="minorEastAsia" w:hAnsi="Times New Roman" w:cs="Times New Roman"/>
          <w:sz w:val="28"/>
          <w:szCs w:val="28"/>
          <w:lang w:val="uk-UA"/>
        </w:rPr>
        <w:t>, при зменшенні обсягів централізованого водопостачання, зменшуються обсяги централізованого водовідведення за певним коефіцієнтом. Такий коефіцієнт не є статичним, та має сезонне коливання через споживання води без скиду стічних вод у теплі періоди</w:t>
      </w:r>
      <w:r w:rsidR="0029198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року (витрати води на полив, миття машин, тощо</w:t>
      </w:r>
      <w:r w:rsidR="00366E01">
        <w:rPr>
          <w:rFonts w:ascii="Times New Roman" w:eastAsiaTheme="minorEastAsia" w:hAnsi="Times New Roman" w:cs="Times New Roman"/>
          <w:sz w:val="28"/>
          <w:szCs w:val="28"/>
          <w:lang w:val="uk-UA"/>
        </w:rPr>
        <w:t>)</w:t>
      </w:r>
    </w:p>
    <w:p w:rsidR="00366E01" w:rsidRDefault="00366E01" w:rsidP="00ED6CCA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002B0" w:rsidRDefault="001F2292" w:rsidP="00E002B0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0649DF33" wp14:editId="52E49EDC">
            <wp:extent cx="5940425" cy="3159125"/>
            <wp:effectExtent l="0" t="0" r="3175" b="31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72172" w:rsidRDefault="00E002B0" w:rsidP="00E002B0">
      <w:pPr>
        <w:spacing w:after="0" w:line="288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Мал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 8 Графік реалізації стічних вод всіх категорій споживачів</w:t>
      </w:r>
    </w:p>
    <w:p w:rsidR="00254203" w:rsidRDefault="00254203" w:rsidP="000903CE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739DA" w:rsidRDefault="00366E01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>Отже при розрахунку обсягів централізованого водовідведення для населення та комунально-побутових стічних вод були використані коефіцієнти.</w:t>
      </w:r>
    </w:p>
    <w:p w:rsidR="00366E01" w:rsidRDefault="00366E01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66E01" w:rsidRDefault="00366E01" w:rsidP="00743AB8">
      <w:pPr>
        <w:spacing w:after="0" w:line="288" w:lineRule="auto"/>
        <w:jc w:val="right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Таблиця 2</w:t>
      </w:r>
    </w:p>
    <w:p w:rsidR="00366E01" w:rsidRDefault="00366E01" w:rsidP="00743AB8">
      <w:pPr>
        <w:spacing w:after="0" w:line="288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Коефіцієнти для перерахунку </w:t>
      </w:r>
      <w:r w:rsidR="00743AB8">
        <w:rPr>
          <w:rFonts w:ascii="Times New Roman" w:eastAsiaTheme="minorEastAsia" w:hAnsi="Times New Roman" w:cs="Times New Roman"/>
          <w:sz w:val="28"/>
          <w:szCs w:val="28"/>
          <w:lang w:val="uk-UA"/>
        </w:rPr>
        <w:t>стічних вод</w:t>
      </w:r>
    </w:p>
    <w:p w:rsidR="00743AB8" w:rsidRDefault="00743AB8" w:rsidP="00743AB8">
      <w:pPr>
        <w:spacing w:after="0" w:line="288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tbl>
      <w:tblPr>
        <w:tblW w:w="9346" w:type="dxa"/>
        <w:tblLook w:val="04A0" w:firstRow="1" w:lastRow="0" w:firstColumn="1" w:lastColumn="0" w:noHBand="0" w:noVBand="1"/>
      </w:tblPr>
      <w:tblGrid>
        <w:gridCol w:w="960"/>
        <w:gridCol w:w="1582"/>
        <w:gridCol w:w="1984"/>
        <w:gridCol w:w="2552"/>
        <w:gridCol w:w="2268"/>
      </w:tblGrid>
      <w:tr w:rsidR="00682A41" w:rsidRPr="00682A41" w:rsidTr="00682A41">
        <w:trPr>
          <w:trHeight w:val="948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Місяць</w:t>
            </w:r>
            <w:proofErr w:type="spellEnd"/>
          </w:p>
        </w:tc>
        <w:tc>
          <w:tcPr>
            <w:tcW w:w="15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Будинки</w:t>
            </w:r>
            <w:proofErr w:type="spellEnd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приватного сектору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Багатоповерхові</w:t>
            </w:r>
            <w:proofErr w:type="spellEnd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будинки</w:t>
            </w:r>
            <w:proofErr w:type="spellEnd"/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Комунально-побутові</w:t>
            </w:r>
            <w:proofErr w:type="spellEnd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стічні</w:t>
            </w:r>
            <w:proofErr w:type="spellEnd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води </w:t>
            </w:r>
            <w:proofErr w:type="spellStart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бюджетних</w:t>
            </w:r>
            <w:proofErr w:type="spellEnd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організацій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Комунально-побутові</w:t>
            </w:r>
            <w:proofErr w:type="spellEnd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стічні</w:t>
            </w:r>
            <w:proofErr w:type="spellEnd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води </w:t>
            </w:r>
            <w:proofErr w:type="spellStart"/>
            <w:r w:rsidRPr="00682A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підприємств</w:t>
            </w:r>
            <w:proofErr w:type="spellEnd"/>
          </w:p>
        </w:tc>
      </w:tr>
      <w:tr w:rsidR="00682A41" w:rsidRPr="00682A41" w:rsidTr="00682A41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0,03457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0,9855660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0,7245200</w:t>
            </w:r>
          </w:p>
        </w:tc>
      </w:tr>
      <w:tr w:rsidR="00682A41" w:rsidRPr="00682A41" w:rsidTr="00682A41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0,03157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0,988060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0,807600</w:t>
            </w:r>
          </w:p>
        </w:tc>
      </w:tr>
      <w:tr w:rsidR="00682A41" w:rsidRPr="00682A41" w:rsidTr="00682A41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0,983090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0,849330</w:t>
            </w:r>
          </w:p>
        </w:tc>
      </w:tr>
      <w:tr w:rsidR="00682A41" w:rsidRPr="00682A41" w:rsidTr="00682A41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0,02233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0,879600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0,495270</w:t>
            </w:r>
          </w:p>
        </w:tc>
      </w:tr>
      <w:tr w:rsidR="00682A41" w:rsidRPr="00682A41" w:rsidTr="00682A41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0,01814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0,796730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0,608520</w:t>
            </w:r>
          </w:p>
        </w:tc>
      </w:tr>
      <w:tr w:rsidR="00682A41" w:rsidRPr="00682A41" w:rsidTr="00682A41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0,01752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0,800680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0,529450</w:t>
            </w:r>
          </w:p>
        </w:tc>
      </w:tr>
      <w:tr w:rsidR="00682A41" w:rsidRPr="00682A41" w:rsidTr="00682A41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0,01737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0,686560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0,404010</w:t>
            </w:r>
          </w:p>
        </w:tc>
      </w:tr>
      <w:tr w:rsidR="00682A41" w:rsidRPr="00682A41" w:rsidTr="00682A41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0,01849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0,766000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0,524156</w:t>
            </w:r>
          </w:p>
        </w:tc>
      </w:tr>
      <w:tr w:rsidR="00682A41" w:rsidRPr="00682A41" w:rsidTr="00682A41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0,02210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0,821950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0,563756</w:t>
            </w:r>
          </w:p>
        </w:tc>
      </w:tr>
      <w:tr w:rsidR="00682A41" w:rsidRPr="00682A41" w:rsidTr="00682A41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0,974010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0,688411</w:t>
            </w:r>
          </w:p>
        </w:tc>
      </w:tr>
      <w:tr w:rsidR="00682A41" w:rsidRPr="00682A41" w:rsidTr="00682A41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0,03433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0,985010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0,759976</w:t>
            </w:r>
          </w:p>
        </w:tc>
      </w:tr>
      <w:tr w:rsidR="00682A41" w:rsidRPr="00682A41" w:rsidTr="00682A4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0,03624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0,986230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2A41" w:rsidRPr="00682A41" w:rsidRDefault="00682A41" w:rsidP="00682A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0,765360</w:t>
            </w:r>
          </w:p>
        </w:tc>
      </w:tr>
    </w:tbl>
    <w:p w:rsidR="00743AB8" w:rsidRDefault="00743AB8" w:rsidP="00743AB8">
      <w:pPr>
        <w:spacing w:after="0" w:line="288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8368D" w:rsidRDefault="001176F3" w:rsidP="001176F3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Натомість, обсяги стічних промислових вод не є такими які повністю залежать від спожитої підприємством води, адже підприємства, які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видобувають воду з власних свердловин користуються лише централізованим водовідведенням. </w:t>
      </w:r>
      <w:r w:rsidR="0016605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Така динаміка спостерігається на графіку </w:t>
      </w:r>
      <w:r w:rsidR="0088368D">
        <w:rPr>
          <w:rFonts w:ascii="Times New Roman" w:eastAsiaTheme="minorEastAsia" w:hAnsi="Times New Roman" w:cs="Times New Roman"/>
          <w:sz w:val="28"/>
          <w:szCs w:val="28"/>
          <w:lang w:val="uk-UA"/>
        </w:rPr>
        <w:t>скиду стічних вод промислових підприємств у літній період.</w:t>
      </w:r>
    </w:p>
    <w:p w:rsidR="0088368D" w:rsidRDefault="0088368D" w:rsidP="0088368D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43AB8" w:rsidRDefault="0088368D" w:rsidP="0088368D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6ECE593D" wp14:editId="53A8956C">
            <wp:extent cx="5905500" cy="35814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88368D" w:rsidRDefault="0088368D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66E01" w:rsidRDefault="0088368D" w:rsidP="00F912AB">
      <w:pPr>
        <w:spacing w:after="0" w:line="288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Мал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 9 Графік стічних вод промислових підприємств</w:t>
      </w:r>
    </w:p>
    <w:p w:rsidR="001176F3" w:rsidRDefault="001176F3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F912AB" w:rsidRDefault="00F912AB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 xml:space="preserve">Так як і у випадку з обсягами води яка використовується для промислових потреб підприємств, величина обсягів стічних вод підприємств схильні до фактору випадковості, якій цілком виправдовує застосування функціоналу оцінювання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</w:p>
    <w:p w:rsidR="001176F3" w:rsidRDefault="001176F3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tbl>
      <w:tblPr>
        <w:tblStyle w:val="a7"/>
        <w:tblpPr w:leftFromText="180" w:rightFromText="180" w:vertAnchor="text" w:horzAnchor="page" w:tblpX="6718" w:tblpY="64"/>
        <w:tblW w:w="0" w:type="auto"/>
        <w:tblLook w:val="04A0" w:firstRow="1" w:lastRow="0" w:firstColumn="1" w:lastColumn="0" w:noHBand="0" w:noVBand="1"/>
      </w:tblPr>
      <w:tblGrid>
        <w:gridCol w:w="486"/>
        <w:gridCol w:w="851"/>
        <w:gridCol w:w="509"/>
        <w:gridCol w:w="625"/>
        <w:gridCol w:w="509"/>
        <w:gridCol w:w="532"/>
        <w:gridCol w:w="531"/>
        <w:gridCol w:w="701"/>
      </w:tblGrid>
      <w:tr w:rsidR="00F912AB" w:rsidTr="00A363B5"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12AB" w:rsidRPr="00F912AB" w:rsidRDefault="00F912AB" w:rsidP="00A363B5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912AB" w:rsidRPr="00F912AB" w:rsidRDefault="00F912AB" w:rsidP="00A363B5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2AB" w:rsidRPr="00386077" w:rsidRDefault="00F912AB" w:rsidP="00A363B5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</w:pP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Ɵ</w:t>
            </w: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2AB" w:rsidRDefault="00F912AB" w:rsidP="00A363B5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…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2AB" w:rsidRDefault="00F912AB" w:rsidP="00A363B5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Ɵ</w:t>
            </w: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2AB" w:rsidRDefault="00F912AB" w:rsidP="00A363B5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…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2AB" w:rsidRDefault="00F912AB" w:rsidP="00A363B5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Ɵ</w:t>
            </w:r>
            <w:r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2AB" w:rsidRDefault="00F912AB" w:rsidP="00A363B5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912AB" w:rsidTr="00A363B5">
        <w:tc>
          <w:tcPr>
            <w:tcW w:w="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912AB" w:rsidRPr="00386077" w:rsidRDefault="00F912AB" w:rsidP="00A363B5">
            <w:pPr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</w:pP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  <w:p w:rsidR="00F912AB" w:rsidRPr="00386077" w:rsidRDefault="00F912AB" w:rsidP="00A363B5">
            <w:pPr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</w:pP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…</w:t>
            </w:r>
          </w:p>
          <w:p w:rsidR="00F912AB" w:rsidRPr="00386077" w:rsidRDefault="00F912AB" w:rsidP="00A363B5">
            <w:pPr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  <w:t>k</w:t>
            </w:r>
            <w:proofErr w:type="spellEnd"/>
          </w:p>
          <w:p w:rsidR="00F912AB" w:rsidRPr="00386077" w:rsidRDefault="00F912AB" w:rsidP="00A363B5">
            <w:pPr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</w:pP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…</w:t>
            </w:r>
          </w:p>
          <w:p w:rsidR="00F912AB" w:rsidRPr="00386077" w:rsidRDefault="00F912AB" w:rsidP="00A363B5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386077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425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912AB" w:rsidRDefault="00F912AB" w:rsidP="00A363B5">
            <w:pPr>
              <w:spacing w:line="288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11</m:t>
                                  </m:r>
                                </m:sub>
                              </m:sSub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1j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k1</m:t>
                                  </m:r>
                                </m:sub>
                              </m:sSub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kj</m:t>
                                  </m:r>
                                </m:sub>
                              </m:sSub>
                            </m:e>
                          </m:mr>
                        </m: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 xml:space="preserve">   </m:t>
                        </m:r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1n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kn</m:t>
                                  </m:r>
                                </m:sub>
                              </m:sSub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m1</m:t>
                                  </m:r>
                                </m:sub>
                              </m:sSub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mj</m:t>
                                  </m:r>
                                </m:sub>
                              </m:sSub>
                            </m:e>
                          </m:mr>
                          <m:mr>
                            <m:e/>
                            <m:e/>
                            <m:e/>
                          </m:mr>
                        </m: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 xml:space="preserve">   </m:t>
                        </m:r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…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mn</m:t>
                                  </m:r>
                                </m:sub>
                              </m:sSub>
                            </m:e>
                          </m:mr>
                          <m:mr>
                            <m:e/>
                            <m:e/>
                          </m:mr>
                        </m:m>
                      </m:e>
                    </m:eqArr>
                  </m:e>
                </m:d>
              </m:oMath>
            </m:oMathPara>
          </w:p>
        </w:tc>
      </w:tr>
    </w:tbl>
    <w:p w:rsidR="00F912AB" w:rsidRPr="0030795F" w:rsidRDefault="00F912AB" w:rsidP="00F912AB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F912AB" w:rsidRDefault="00F912AB" w:rsidP="00F912AB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F912AB" w:rsidRPr="00F912AB" w:rsidRDefault="00F912AB" w:rsidP="00F912AB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F912AB" w:rsidRPr="007573FE" w:rsidRDefault="00F912AB" w:rsidP="00F912AB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ε=F=F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kj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:k=1,…,m;j=1,…n</m:t>
            </m:r>
          </m:e>
        </m:d>
      </m:oMath>
      <w:r w:rsidRPr="007573F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</w:p>
    <w:p w:rsidR="001176F3" w:rsidRPr="00F912AB" w:rsidRDefault="001176F3" w:rsidP="00F912AB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1176F3" w:rsidRDefault="001176F3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176F3" w:rsidRDefault="001176F3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93519" w:rsidRDefault="00F912AB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але визначним фактором впливу на випадкову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ε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становить використання вла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сних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свердловин у робочому циклі підприємств міста</w:t>
      </w:r>
      <w:r w:rsidR="0019351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n</m:t>
            </m:r>
          </m:sub>
        </m:sSub>
      </m:oMath>
      <w:r w:rsidR="0019351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та обсяг виробництва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θ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b>
        </m:sSub>
      </m:oMath>
      <w:r w:rsidR="00193519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193519" w:rsidRDefault="00193519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Оскільки зазначені фактори достовірно передбачити не можливо, а загальна динаміка обсягів стічних вод за останні роки має незначне зниження на 2021 рік планові обсяги стічних вод за промисловими підприємствами розраховані на рівні 1,700 тис. м</w:t>
      </w:r>
      <w:r w:rsidRPr="00193519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(-0,8%).</w:t>
      </w:r>
    </w:p>
    <w:p w:rsidR="00193519" w:rsidRDefault="00DC5999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 xml:space="preserve">Загалом, планові показники обсягів централізованого водопостачання та централізованого водовідведення на 2021 рік розраховані з урахуванням тенденції розвитку послуг та ряду факторів, які впливають </w:t>
      </w:r>
      <w:r w:rsidR="00ED152B">
        <w:rPr>
          <w:rFonts w:ascii="Times New Roman" w:eastAsiaTheme="minorEastAsia" w:hAnsi="Times New Roman" w:cs="Times New Roman"/>
          <w:sz w:val="28"/>
          <w:szCs w:val="28"/>
          <w:lang w:val="uk-UA"/>
        </w:rPr>
        <w:t>на динаміку обсягів відповідних послуг.</w:t>
      </w:r>
    </w:p>
    <w:p w:rsidR="001176F3" w:rsidRPr="00193519" w:rsidRDefault="002F70A6" w:rsidP="005652E2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35463959" wp14:editId="687733C0">
            <wp:extent cx="5600700" cy="3040380"/>
            <wp:effectExtent l="0" t="0" r="0" b="762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="00DC599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19351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1176F3" w:rsidRDefault="00ED152B" w:rsidP="00ED152B">
      <w:pPr>
        <w:spacing w:after="0" w:line="288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Мал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10 Загальні обсяги водопостачання </w:t>
      </w:r>
      <w:r w:rsidR="002F70A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та водовідведення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по рокам</w:t>
      </w:r>
    </w:p>
    <w:p w:rsidR="005652E2" w:rsidRDefault="005652E2" w:rsidP="005652E2">
      <w:pPr>
        <w:spacing w:after="0" w:line="288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652E2" w:rsidRDefault="005652E2" w:rsidP="0046168F">
      <w:pPr>
        <w:spacing w:after="0" w:line="288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Обсяги на централізоване водопостачання та водовідведення мають вирішальне значення при розрахунку тарифу на ці послуги, адже є їхньою складовою. Розвиток економічної сфери міста, </w:t>
      </w:r>
      <w:r w:rsidR="0046168F">
        <w:rPr>
          <w:rFonts w:ascii="Times New Roman" w:eastAsiaTheme="minorEastAsia" w:hAnsi="Times New Roman" w:cs="Times New Roman"/>
          <w:sz w:val="28"/>
          <w:szCs w:val="28"/>
          <w:lang w:val="uk-UA"/>
        </w:rPr>
        <w:t>реконструкція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мереж водопостачання та водовідведення, а також </w:t>
      </w:r>
      <w:r w:rsidR="0046168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сувора заборона на видобування підземних питних вод приватними свердловинами при наявності мереж централізованого водопостачання можуть позитивно вплинути </w:t>
      </w:r>
      <w:r w:rsidR="006B3CE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на </w:t>
      </w:r>
      <w:r w:rsidR="0046168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рівень обсягів, а як наслідок зменшити рівень тарифу на відповідні послуги. Окремо зазначимо, що </w:t>
      </w:r>
      <w:r w:rsidR="0046168F">
        <w:rPr>
          <w:rFonts w:ascii="Times New Roman" w:eastAsiaTheme="minorEastAsia" w:hAnsi="Times New Roman" w:cs="Times New Roman"/>
          <w:sz w:val="28"/>
          <w:szCs w:val="28"/>
          <w:lang w:val="uk-UA"/>
        </w:rPr>
        <w:t>сувора заборона на видобування підземних питних вод приватними свердловинами при наявності мереж централізованого водопостачання</w:t>
      </w:r>
      <w:r w:rsidR="0046168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значно покращить екологічний стан питної води міста.</w:t>
      </w:r>
    </w:p>
    <w:p w:rsidR="001176F3" w:rsidRDefault="001176F3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6168F" w:rsidRDefault="0046168F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Начальник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 xml:space="preserve">В.М.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Ячменьов</w:t>
      </w:r>
      <w:proofErr w:type="spellEnd"/>
    </w:p>
    <w:p w:rsidR="0046168F" w:rsidRDefault="0046168F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6168F" w:rsidRDefault="0046168F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Начальник відділу </w:t>
      </w:r>
    </w:p>
    <w:p w:rsidR="001176F3" w:rsidRDefault="0046168F" w:rsidP="00366E01">
      <w:pPr>
        <w:spacing w:after="0" w:line="288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(планово-виробничого)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 xml:space="preserve">І.А.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Літовченко</w:t>
      </w:r>
      <w:proofErr w:type="spellEnd"/>
    </w:p>
    <w:sectPr w:rsidR="001176F3" w:rsidSect="005A66F4">
      <w:headerReference w:type="default" r:id="rId1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0A2" w:rsidRDefault="007B20A2" w:rsidP="005A66F4">
      <w:pPr>
        <w:spacing w:after="0" w:line="240" w:lineRule="auto"/>
      </w:pPr>
      <w:r>
        <w:separator/>
      </w:r>
    </w:p>
  </w:endnote>
  <w:endnote w:type="continuationSeparator" w:id="0">
    <w:p w:rsidR="007B20A2" w:rsidRDefault="007B20A2" w:rsidP="005A6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0A2" w:rsidRDefault="007B20A2" w:rsidP="005A66F4">
      <w:pPr>
        <w:spacing w:after="0" w:line="240" w:lineRule="auto"/>
      </w:pPr>
      <w:r>
        <w:separator/>
      </w:r>
    </w:p>
  </w:footnote>
  <w:footnote w:type="continuationSeparator" w:id="0">
    <w:p w:rsidR="007B20A2" w:rsidRDefault="007B20A2" w:rsidP="005A6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3132711"/>
      <w:docPartObj>
        <w:docPartGallery w:val="Page Numbers (Top of Page)"/>
        <w:docPartUnique/>
      </w:docPartObj>
    </w:sdtPr>
    <w:sdtContent>
      <w:p w:rsidR="005A66F4" w:rsidRDefault="005A66F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72F">
          <w:rPr>
            <w:noProof/>
          </w:rPr>
          <w:t>11</w:t>
        </w:r>
        <w:r>
          <w:fldChar w:fldCharType="end"/>
        </w:r>
      </w:p>
    </w:sdtContent>
  </w:sdt>
  <w:p w:rsidR="005A66F4" w:rsidRDefault="005A66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D09A3"/>
    <w:multiLevelType w:val="hybridMultilevel"/>
    <w:tmpl w:val="D8ACE6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6A6007"/>
    <w:multiLevelType w:val="hybridMultilevel"/>
    <w:tmpl w:val="065E9168"/>
    <w:lvl w:ilvl="0" w:tplc="E2F6A122">
      <w:start w:val="1"/>
      <w:numFmt w:val="decimal"/>
      <w:lvlText w:val="%1."/>
      <w:lvlJc w:val="left"/>
      <w:pPr>
        <w:ind w:left="9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84" w:hanging="360"/>
      </w:pPr>
    </w:lvl>
    <w:lvl w:ilvl="2" w:tplc="0419001B" w:tentative="1">
      <w:start w:val="1"/>
      <w:numFmt w:val="lowerRoman"/>
      <w:lvlText w:val="%3."/>
      <w:lvlJc w:val="right"/>
      <w:pPr>
        <w:ind w:left="11004" w:hanging="180"/>
      </w:pPr>
    </w:lvl>
    <w:lvl w:ilvl="3" w:tplc="0419000F" w:tentative="1">
      <w:start w:val="1"/>
      <w:numFmt w:val="decimal"/>
      <w:lvlText w:val="%4."/>
      <w:lvlJc w:val="left"/>
      <w:pPr>
        <w:ind w:left="11724" w:hanging="360"/>
      </w:pPr>
    </w:lvl>
    <w:lvl w:ilvl="4" w:tplc="04190019" w:tentative="1">
      <w:start w:val="1"/>
      <w:numFmt w:val="lowerLetter"/>
      <w:lvlText w:val="%5."/>
      <w:lvlJc w:val="left"/>
      <w:pPr>
        <w:ind w:left="12444" w:hanging="360"/>
      </w:pPr>
    </w:lvl>
    <w:lvl w:ilvl="5" w:tplc="0419001B" w:tentative="1">
      <w:start w:val="1"/>
      <w:numFmt w:val="lowerRoman"/>
      <w:lvlText w:val="%6."/>
      <w:lvlJc w:val="right"/>
      <w:pPr>
        <w:ind w:left="13164" w:hanging="180"/>
      </w:pPr>
    </w:lvl>
    <w:lvl w:ilvl="6" w:tplc="0419000F" w:tentative="1">
      <w:start w:val="1"/>
      <w:numFmt w:val="decimal"/>
      <w:lvlText w:val="%7."/>
      <w:lvlJc w:val="left"/>
      <w:pPr>
        <w:ind w:left="13884" w:hanging="360"/>
      </w:pPr>
    </w:lvl>
    <w:lvl w:ilvl="7" w:tplc="04190019" w:tentative="1">
      <w:start w:val="1"/>
      <w:numFmt w:val="lowerLetter"/>
      <w:lvlText w:val="%8."/>
      <w:lvlJc w:val="left"/>
      <w:pPr>
        <w:ind w:left="14604" w:hanging="360"/>
      </w:pPr>
    </w:lvl>
    <w:lvl w:ilvl="8" w:tplc="0419001B" w:tentative="1">
      <w:start w:val="1"/>
      <w:numFmt w:val="lowerRoman"/>
      <w:lvlText w:val="%9."/>
      <w:lvlJc w:val="right"/>
      <w:pPr>
        <w:ind w:left="153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9DA"/>
    <w:rsid w:val="0003575F"/>
    <w:rsid w:val="000641D5"/>
    <w:rsid w:val="000903CE"/>
    <w:rsid w:val="000A555C"/>
    <w:rsid w:val="000C2A5E"/>
    <w:rsid w:val="001176F3"/>
    <w:rsid w:val="001511A2"/>
    <w:rsid w:val="00163566"/>
    <w:rsid w:val="00164A0A"/>
    <w:rsid w:val="00166050"/>
    <w:rsid w:val="00170647"/>
    <w:rsid w:val="001729FC"/>
    <w:rsid w:val="00193519"/>
    <w:rsid w:val="001F2292"/>
    <w:rsid w:val="00254203"/>
    <w:rsid w:val="00291982"/>
    <w:rsid w:val="002A2C91"/>
    <w:rsid w:val="002A328B"/>
    <w:rsid w:val="002F70A6"/>
    <w:rsid w:val="0030795F"/>
    <w:rsid w:val="00320118"/>
    <w:rsid w:val="003537CD"/>
    <w:rsid w:val="00366E01"/>
    <w:rsid w:val="00386077"/>
    <w:rsid w:val="00414BDF"/>
    <w:rsid w:val="00415109"/>
    <w:rsid w:val="004566A8"/>
    <w:rsid w:val="0046168F"/>
    <w:rsid w:val="00485F75"/>
    <w:rsid w:val="004877A6"/>
    <w:rsid w:val="004A47F3"/>
    <w:rsid w:val="004B3B06"/>
    <w:rsid w:val="004E2233"/>
    <w:rsid w:val="0055059F"/>
    <w:rsid w:val="005652E2"/>
    <w:rsid w:val="005A66F4"/>
    <w:rsid w:val="006739DA"/>
    <w:rsid w:val="00682A41"/>
    <w:rsid w:val="006B3CE4"/>
    <w:rsid w:val="006F68D2"/>
    <w:rsid w:val="00711441"/>
    <w:rsid w:val="00743AB8"/>
    <w:rsid w:val="007573FE"/>
    <w:rsid w:val="00765D8B"/>
    <w:rsid w:val="00796235"/>
    <w:rsid w:val="007B20A2"/>
    <w:rsid w:val="00816465"/>
    <w:rsid w:val="0084072F"/>
    <w:rsid w:val="0088368D"/>
    <w:rsid w:val="008A7B6B"/>
    <w:rsid w:val="008D57FB"/>
    <w:rsid w:val="008D652A"/>
    <w:rsid w:val="00974662"/>
    <w:rsid w:val="009D3990"/>
    <w:rsid w:val="00A363B5"/>
    <w:rsid w:val="00A72172"/>
    <w:rsid w:val="00A83BB5"/>
    <w:rsid w:val="00BA0C9E"/>
    <w:rsid w:val="00BB1112"/>
    <w:rsid w:val="00BC445B"/>
    <w:rsid w:val="00C02B9A"/>
    <w:rsid w:val="00C12235"/>
    <w:rsid w:val="00C25947"/>
    <w:rsid w:val="00CE6660"/>
    <w:rsid w:val="00CF1F61"/>
    <w:rsid w:val="00D0280A"/>
    <w:rsid w:val="00D02EA4"/>
    <w:rsid w:val="00D264DA"/>
    <w:rsid w:val="00D52CD4"/>
    <w:rsid w:val="00DC5999"/>
    <w:rsid w:val="00DE2E4D"/>
    <w:rsid w:val="00E002B0"/>
    <w:rsid w:val="00E11D21"/>
    <w:rsid w:val="00E135AF"/>
    <w:rsid w:val="00E33CDB"/>
    <w:rsid w:val="00E54F21"/>
    <w:rsid w:val="00E952CC"/>
    <w:rsid w:val="00E9718A"/>
    <w:rsid w:val="00ED152B"/>
    <w:rsid w:val="00ED6CCA"/>
    <w:rsid w:val="00EE327A"/>
    <w:rsid w:val="00F03785"/>
    <w:rsid w:val="00F9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3FD8D"/>
  <w15:chartTrackingRefBased/>
  <w15:docId w15:val="{4D8F6295-A6C8-4D25-86FD-C081A773C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11A2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1511A2"/>
    <w:rPr>
      <w:color w:val="808080"/>
    </w:rPr>
  </w:style>
  <w:style w:type="paragraph" w:styleId="a6">
    <w:name w:val="List Paragraph"/>
    <w:basedOn w:val="a"/>
    <w:uiPriority w:val="34"/>
    <w:qFormat/>
    <w:rsid w:val="00414BDF"/>
    <w:pPr>
      <w:ind w:left="720"/>
      <w:contextualSpacing/>
    </w:pPr>
  </w:style>
  <w:style w:type="table" w:styleId="a7">
    <w:name w:val="Table Grid"/>
    <w:basedOn w:val="a1"/>
    <w:uiPriority w:val="39"/>
    <w:rsid w:val="00CF1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A6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A66F4"/>
  </w:style>
  <w:style w:type="paragraph" w:styleId="aa">
    <w:name w:val="footer"/>
    <w:basedOn w:val="a"/>
    <w:link w:val="ab"/>
    <w:uiPriority w:val="99"/>
    <w:unhideWhenUsed/>
    <w:rsid w:val="005A6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A6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0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chart" Target="charts/chart3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1054;&#1073;&#1097;&#1080;&#1077;%20&#1076;&#1086;&#1082;&#1091;&#1084;&#1077;&#1085;&#1090;&#1099;\&#1055;&#1069;&#1054;\&#1052;&#1086;&#1080;%20&#1076;&#1086;&#1082;&#1091;&#1084;&#1077;&#1085;&#1090;&#1099;\&#1044;&#1086;&#1082;&#1091;&#1084;&#1077;&#1085;&#1090;&#1099;\2020\&#1055;&#1088;&#1086;&#1077;&#1082;&#1090;%20&#1090;&#1072;&#1088;&#1080;&#1092;&#1072;%202021\&#1058;&#1072;&#1088;&#1080;&#1092;%20&#1062;&#1042;&#1055;%20&#1090;&#1072;%20&#1062;&#1042;&#1042;\&#1056;&#1110;&#1095;&#1085;&#1110;%20&#1087;&#1083;&#1072;&#1085;&#1080;\&#1056;&#1110;&#1095;&#1085;&#1110;%20&#1086;&#1073;&#1108;&#1084;&#1080;%202021.xlsb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1054;&#1073;&#1097;&#1080;&#1077;%20&#1076;&#1086;&#1082;&#1091;&#1084;&#1077;&#1085;&#1090;&#1099;\&#1055;&#1069;&#1054;\&#1052;&#1086;&#1080;%20&#1076;&#1086;&#1082;&#1091;&#1084;&#1077;&#1085;&#1090;&#1099;\&#1044;&#1086;&#1082;&#1091;&#1084;&#1077;&#1085;&#1090;&#1099;\2020\&#1055;&#1088;&#1086;&#1077;&#1082;&#1090;%20&#1090;&#1072;&#1088;&#1080;&#1092;&#1072;%202021\&#1058;&#1072;&#1088;&#1080;&#1092;%20&#1062;&#1042;&#1055;%20&#1090;&#1072;%20&#1062;&#1042;&#1042;\&#1056;&#1110;&#1095;&#1085;&#1110;%20&#1087;&#1083;&#1072;&#1085;&#1080;\&#1056;&#1110;&#1095;&#1085;&#1110;%20&#1086;&#1073;&#1108;&#1084;&#1080;%202021.xlsb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1054;&#1073;&#1097;&#1080;&#1077;%20&#1076;&#1086;&#1082;&#1091;&#1084;&#1077;&#1085;&#1090;&#1099;\&#1055;&#1069;&#1054;\&#1052;&#1086;&#1080;%20&#1076;&#1086;&#1082;&#1091;&#1084;&#1077;&#1085;&#1090;&#1099;\&#1044;&#1086;&#1082;&#1091;&#1084;&#1077;&#1085;&#1090;&#1099;\2020\&#1055;&#1088;&#1086;&#1077;&#1082;&#1090;%20&#1090;&#1072;&#1088;&#1080;&#1092;&#1072;%202021\&#1058;&#1072;&#1088;&#1080;&#1092;%20&#1062;&#1042;&#1055;%20&#1090;&#1072;%20&#1062;&#1042;&#1042;\&#1056;&#1110;&#1095;&#1085;&#1110;%20&#1087;&#1083;&#1072;&#1085;&#1080;\&#1056;&#1110;&#1095;&#1085;&#1110;%20&#1086;&#1073;&#1108;&#1084;&#1080;%202021.xlsb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1054;&#1073;&#1097;&#1080;&#1077;%20&#1076;&#1086;&#1082;&#1091;&#1084;&#1077;&#1085;&#1090;&#1099;\&#1055;&#1069;&#1054;\&#1052;&#1086;&#1080;%20&#1076;&#1086;&#1082;&#1091;&#1084;&#1077;&#1085;&#1090;&#1099;\&#1044;&#1086;&#1082;&#1091;&#1084;&#1077;&#1085;&#1090;&#1099;\2020\&#1055;&#1088;&#1086;&#1077;&#1082;&#1090;%20&#1090;&#1072;&#1088;&#1080;&#1092;&#1072;%202021\&#1058;&#1072;&#1088;&#1080;&#1092;%20&#1062;&#1042;&#1055;%20&#1090;&#1072;%20&#1062;&#1042;&#1042;\&#1056;&#1110;&#1095;&#1085;&#1110;%20&#1087;&#1083;&#1072;&#1085;&#1080;\&#1056;&#1110;&#1095;&#1085;&#1110;%20&#1086;&#1073;&#1108;&#1084;&#1080;%202021.xlsb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1054;&#1073;&#1097;&#1080;&#1077;%20&#1076;&#1086;&#1082;&#1091;&#1084;&#1077;&#1085;&#1090;&#1099;\&#1055;&#1069;&#1054;\&#1052;&#1086;&#1080;%20&#1076;&#1086;&#1082;&#1091;&#1084;&#1077;&#1085;&#1090;&#1099;\&#1044;&#1086;&#1082;&#1091;&#1084;&#1077;&#1085;&#1090;&#1099;\2020\&#1055;&#1088;&#1086;&#1077;&#1082;&#1090;%20&#1090;&#1072;&#1088;&#1080;&#1092;&#1072;%202021\&#1058;&#1072;&#1088;&#1080;&#1092;%20&#1062;&#1042;&#1055;%20&#1090;&#1072;%20&#1062;&#1042;&#1042;\&#1056;&#1110;&#1095;&#1085;&#1110;%20&#1087;&#1083;&#1072;&#1085;&#1080;\&#1056;&#1110;&#1095;&#1085;&#1110;%20&#1086;&#1073;&#1108;&#1084;&#1080;%202021.xlsb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1054;&#1073;&#1097;&#1080;&#1077;%20&#1076;&#1086;&#1082;&#1091;&#1084;&#1077;&#1085;&#1090;&#1099;\&#1055;&#1069;&#1054;\&#1052;&#1086;&#1080;%20&#1076;&#1086;&#1082;&#1091;&#1084;&#1077;&#1085;&#1090;&#1099;\&#1044;&#1086;&#1082;&#1091;&#1084;&#1077;&#1085;&#1090;&#1099;\2020\&#1055;&#1088;&#1086;&#1077;&#1082;&#1090;%20&#1090;&#1072;&#1088;&#1080;&#1092;&#1072;%202021\&#1058;&#1072;&#1088;&#1080;&#1092;%20&#1062;&#1042;&#1055;%20&#1090;&#1072;%20&#1062;&#1042;&#1042;\&#1056;&#1110;&#1095;&#1085;&#1110;%20&#1087;&#1083;&#1072;&#1085;&#1080;\&#1056;&#1110;&#1095;&#1085;&#1110;%20&#1086;&#1073;&#1108;&#1084;&#1080;%202021.xlsb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oleObject" Target="file:///E:\&#1047;&#1072;&#1075;&#1088;&#1091;&#1079;&#1082;&#1080;\2018.xlsx" TargetMode="Externa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1054;&#1073;&#1097;&#1080;&#1077;%20&#1076;&#1086;&#1082;&#1091;&#1084;&#1077;&#1085;&#1090;&#1099;\&#1055;&#1069;&#1054;\&#1052;&#1086;&#1080;%20&#1076;&#1086;&#1082;&#1091;&#1084;&#1077;&#1085;&#1090;&#1099;\&#1044;&#1086;&#1082;&#1091;&#1084;&#1077;&#1085;&#1090;&#1099;\2020\&#1055;&#1088;&#1086;&#1077;&#1082;&#1090;%20&#1090;&#1072;&#1088;&#1080;&#1092;&#1072;%202021\&#1058;&#1072;&#1088;&#1080;&#1092;%20&#1062;&#1042;&#1055;%20&#1090;&#1072;%20&#1062;&#1042;&#1042;\&#1056;&#1110;&#1095;&#1085;&#1110;%20&#1087;&#1083;&#1072;&#1085;&#1080;\&#1056;&#1110;&#1095;&#1085;&#1110;%20&#1086;&#1073;&#1108;&#1084;&#1080;%202021.xlsb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1054;&#1073;&#1097;&#1080;&#1077;%20&#1076;&#1086;&#1082;&#1091;&#1084;&#1077;&#1085;&#1090;&#1099;\&#1055;&#1069;&#1054;\&#1052;&#1086;&#1080;%20&#1076;&#1086;&#1082;&#1091;&#1084;&#1077;&#1085;&#1090;&#1099;\&#1044;&#1086;&#1082;&#1091;&#1084;&#1077;&#1085;&#1090;&#1099;\2020\&#1055;&#1088;&#1086;&#1077;&#1082;&#1090;%20&#1090;&#1072;&#1088;&#1080;&#1092;&#1072;%202021\&#1058;&#1072;&#1088;&#1080;&#1092;%20&#1062;&#1042;&#1055;%20&#1090;&#1072;%20&#1062;&#1042;&#1042;\&#1056;&#1110;&#1095;&#1085;&#1110;%20&#1087;&#1083;&#1072;&#1085;&#1080;\&#1056;&#1110;&#1095;&#1085;&#1110;%20&#1086;&#1073;&#1108;&#1084;&#1080;%202021.xlsb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Підйом води за період 2015-2020 р.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15875" cap="rnd">
              <a:solidFill>
                <a:schemeClr val="dk1">
                  <a:tint val="88500"/>
                </a:schemeClr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trendline>
            <c:spPr>
              <a:ln w="12700" cap="rnd">
                <a:solidFill>
                  <a:schemeClr val="dk1">
                    <a:tint val="88500"/>
                  </a:schemeClr>
                </a:solidFill>
                <a:prstDash val="sysDash"/>
              </a:ln>
              <a:effectLst/>
            </c:spPr>
            <c:trendlineType val="linear"/>
            <c:dispRSqr val="0"/>
            <c:dispEq val="0"/>
          </c:trendline>
          <c:cat>
            <c:numRef>
              <c:f>'Прогноз Подъем'!$A$5:$A$76</c:f>
              <c:numCache>
                <c:formatCode>mmmm\ yyyy</c:formatCode>
                <c:ptCount val="72"/>
                <c:pt idx="0">
                  <c:v>41640</c:v>
                </c:pt>
                <c:pt idx="1">
                  <c:v>41671</c:v>
                </c:pt>
                <c:pt idx="2">
                  <c:v>41699</c:v>
                </c:pt>
                <c:pt idx="3">
                  <c:v>41730</c:v>
                </c:pt>
                <c:pt idx="4">
                  <c:v>41760</c:v>
                </c:pt>
                <c:pt idx="5">
                  <c:v>41791</c:v>
                </c:pt>
                <c:pt idx="6">
                  <c:v>41821</c:v>
                </c:pt>
                <c:pt idx="7">
                  <c:v>41852</c:v>
                </c:pt>
                <c:pt idx="8">
                  <c:v>41883</c:v>
                </c:pt>
                <c:pt idx="9">
                  <c:v>41913</c:v>
                </c:pt>
                <c:pt idx="10">
                  <c:v>41944</c:v>
                </c:pt>
                <c:pt idx="11">
                  <c:v>41974</c:v>
                </c:pt>
                <c:pt idx="12">
                  <c:v>42005</c:v>
                </c:pt>
                <c:pt idx="13">
                  <c:v>42036</c:v>
                </c:pt>
                <c:pt idx="14">
                  <c:v>42064</c:v>
                </c:pt>
                <c:pt idx="15">
                  <c:v>42095</c:v>
                </c:pt>
                <c:pt idx="16">
                  <c:v>42125</c:v>
                </c:pt>
                <c:pt idx="17">
                  <c:v>42156</c:v>
                </c:pt>
                <c:pt idx="18">
                  <c:v>42186</c:v>
                </c:pt>
                <c:pt idx="19">
                  <c:v>42217</c:v>
                </c:pt>
                <c:pt idx="20">
                  <c:v>42248</c:v>
                </c:pt>
                <c:pt idx="21">
                  <c:v>42278</c:v>
                </c:pt>
                <c:pt idx="22">
                  <c:v>42309</c:v>
                </c:pt>
                <c:pt idx="23">
                  <c:v>42339</c:v>
                </c:pt>
                <c:pt idx="24">
                  <c:v>42370</c:v>
                </c:pt>
                <c:pt idx="25">
                  <c:v>42401</c:v>
                </c:pt>
                <c:pt idx="26">
                  <c:v>42430</c:v>
                </c:pt>
                <c:pt idx="27">
                  <c:v>42461</c:v>
                </c:pt>
                <c:pt idx="28">
                  <c:v>42491</c:v>
                </c:pt>
                <c:pt idx="29">
                  <c:v>42522</c:v>
                </c:pt>
                <c:pt idx="30">
                  <c:v>42552</c:v>
                </c:pt>
                <c:pt idx="31">
                  <c:v>42583</c:v>
                </c:pt>
                <c:pt idx="32">
                  <c:v>42614</c:v>
                </c:pt>
                <c:pt idx="33">
                  <c:v>42644</c:v>
                </c:pt>
                <c:pt idx="34">
                  <c:v>42675</c:v>
                </c:pt>
                <c:pt idx="35">
                  <c:v>42705</c:v>
                </c:pt>
                <c:pt idx="36">
                  <c:v>42736</c:v>
                </c:pt>
                <c:pt idx="37">
                  <c:v>42767</c:v>
                </c:pt>
                <c:pt idx="38">
                  <c:v>42795</c:v>
                </c:pt>
                <c:pt idx="39">
                  <c:v>42826</c:v>
                </c:pt>
                <c:pt idx="40">
                  <c:v>42856</c:v>
                </c:pt>
                <c:pt idx="41">
                  <c:v>42887</c:v>
                </c:pt>
                <c:pt idx="42">
                  <c:v>42917</c:v>
                </c:pt>
                <c:pt idx="43">
                  <c:v>42948</c:v>
                </c:pt>
                <c:pt idx="44">
                  <c:v>42979</c:v>
                </c:pt>
                <c:pt idx="45">
                  <c:v>43009</c:v>
                </c:pt>
                <c:pt idx="46">
                  <c:v>43040</c:v>
                </c:pt>
                <c:pt idx="47">
                  <c:v>43070</c:v>
                </c:pt>
                <c:pt idx="48">
                  <c:v>43101</c:v>
                </c:pt>
                <c:pt idx="49">
                  <c:v>43132</c:v>
                </c:pt>
                <c:pt idx="50">
                  <c:v>43160</c:v>
                </c:pt>
                <c:pt idx="51">
                  <c:v>43191</c:v>
                </c:pt>
                <c:pt idx="52">
                  <c:v>43221</c:v>
                </c:pt>
                <c:pt idx="53">
                  <c:v>43252</c:v>
                </c:pt>
                <c:pt idx="54">
                  <c:v>43282</c:v>
                </c:pt>
                <c:pt idx="55">
                  <c:v>43313</c:v>
                </c:pt>
                <c:pt idx="56">
                  <c:v>43344</c:v>
                </c:pt>
                <c:pt idx="57">
                  <c:v>43374</c:v>
                </c:pt>
                <c:pt idx="58">
                  <c:v>43405</c:v>
                </c:pt>
                <c:pt idx="59">
                  <c:v>43435</c:v>
                </c:pt>
                <c:pt idx="60">
                  <c:v>43466</c:v>
                </c:pt>
                <c:pt idx="61">
                  <c:v>43497</c:v>
                </c:pt>
                <c:pt idx="62">
                  <c:v>43525</c:v>
                </c:pt>
                <c:pt idx="63">
                  <c:v>43556</c:v>
                </c:pt>
                <c:pt idx="64">
                  <c:v>43586</c:v>
                </c:pt>
                <c:pt idx="65">
                  <c:v>43617</c:v>
                </c:pt>
                <c:pt idx="66">
                  <c:v>43647</c:v>
                </c:pt>
                <c:pt idx="67">
                  <c:v>43678</c:v>
                </c:pt>
                <c:pt idx="68">
                  <c:v>43709</c:v>
                </c:pt>
                <c:pt idx="69">
                  <c:v>43739</c:v>
                </c:pt>
                <c:pt idx="70">
                  <c:v>43770</c:v>
                </c:pt>
                <c:pt idx="71">
                  <c:v>43800</c:v>
                </c:pt>
              </c:numCache>
            </c:numRef>
          </c:cat>
          <c:val>
            <c:numRef>
              <c:f>'Прогноз Подъем'!$B$5:$B$76</c:f>
              <c:numCache>
                <c:formatCode>General</c:formatCode>
                <c:ptCount val="72"/>
                <c:pt idx="0">
                  <c:v>225383</c:v>
                </c:pt>
                <c:pt idx="1">
                  <c:v>291337</c:v>
                </c:pt>
                <c:pt idx="2">
                  <c:v>230835</c:v>
                </c:pt>
                <c:pt idx="3">
                  <c:v>359378</c:v>
                </c:pt>
                <c:pt idx="4">
                  <c:v>409632</c:v>
                </c:pt>
                <c:pt idx="5">
                  <c:v>429778</c:v>
                </c:pt>
                <c:pt idx="6">
                  <c:v>411263</c:v>
                </c:pt>
                <c:pt idx="7">
                  <c:v>430155</c:v>
                </c:pt>
                <c:pt idx="8">
                  <c:v>286046</c:v>
                </c:pt>
                <c:pt idx="9">
                  <c:v>259703</c:v>
                </c:pt>
                <c:pt idx="10">
                  <c:v>241040</c:v>
                </c:pt>
                <c:pt idx="11">
                  <c:v>252007</c:v>
                </c:pt>
                <c:pt idx="12">
                  <c:v>267177</c:v>
                </c:pt>
                <c:pt idx="13">
                  <c:v>255293</c:v>
                </c:pt>
                <c:pt idx="14">
                  <c:v>273593</c:v>
                </c:pt>
                <c:pt idx="15">
                  <c:v>311765</c:v>
                </c:pt>
                <c:pt idx="16">
                  <c:v>429378</c:v>
                </c:pt>
                <c:pt idx="17">
                  <c:v>398634</c:v>
                </c:pt>
                <c:pt idx="18">
                  <c:v>424473</c:v>
                </c:pt>
                <c:pt idx="19">
                  <c:v>438232</c:v>
                </c:pt>
                <c:pt idx="20">
                  <c:v>548903</c:v>
                </c:pt>
                <c:pt idx="21">
                  <c:v>361311</c:v>
                </c:pt>
                <c:pt idx="22">
                  <c:v>261757</c:v>
                </c:pt>
                <c:pt idx="23">
                  <c:v>264272</c:v>
                </c:pt>
                <c:pt idx="24">
                  <c:v>258827</c:v>
                </c:pt>
                <c:pt idx="25">
                  <c:v>215380</c:v>
                </c:pt>
                <c:pt idx="26">
                  <c:v>223685</c:v>
                </c:pt>
                <c:pt idx="27">
                  <c:v>257733</c:v>
                </c:pt>
                <c:pt idx="28">
                  <c:v>323277</c:v>
                </c:pt>
                <c:pt idx="29">
                  <c:v>385538</c:v>
                </c:pt>
                <c:pt idx="30">
                  <c:v>369769</c:v>
                </c:pt>
                <c:pt idx="31">
                  <c:v>373578</c:v>
                </c:pt>
                <c:pt idx="32">
                  <c:v>377054</c:v>
                </c:pt>
                <c:pt idx="33">
                  <c:v>284577</c:v>
                </c:pt>
                <c:pt idx="34">
                  <c:v>242773</c:v>
                </c:pt>
                <c:pt idx="35">
                  <c:v>227895</c:v>
                </c:pt>
                <c:pt idx="36">
                  <c:v>247189</c:v>
                </c:pt>
                <c:pt idx="37">
                  <c:v>228472</c:v>
                </c:pt>
                <c:pt idx="38">
                  <c:v>231765</c:v>
                </c:pt>
                <c:pt idx="39">
                  <c:v>273246</c:v>
                </c:pt>
                <c:pt idx="40">
                  <c:v>366885</c:v>
                </c:pt>
                <c:pt idx="41">
                  <c:v>360948</c:v>
                </c:pt>
                <c:pt idx="42">
                  <c:v>347806</c:v>
                </c:pt>
                <c:pt idx="43">
                  <c:v>364091</c:v>
                </c:pt>
                <c:pt idx="44">
                  <c:v>322702</c:v>
                </c:pt>
                <c:pt idx="45">
                  <c:v>252563</c:v>
                </c:pt>
                <c:pt idx="46">
                  <c:v>218290</c:v>
                </c:pt>
                <c:pt idx="47">
                  <c:v>235843</c:v>
                </c:pt>
                <c:pt idx="48">
                  <c:v>226977</c:v>
                </c:pt>
                <c:pt idx="49">
                  <c:v>237810</c:v>
                </c:pt>
                <c:pt idx="50">
                  <c:v>270792</c:v>
                </c:pt>
                <c:pt idx="51">
                  <c:v>320551</c:v>
                </c:pt>
                <c:pt idx="52">
                  <c:v>350697</c:v>
                </c:pt>
                <c:pt idx="53">
                  <c:v>369245</c:v>
                </c:pt>
                <c:pt idx="54">
                  <c:v>368468</c:v>
                </c:pt>
                <c:pt idx="55">
                  <c:v>397911</c:v>
                </c:pt>
                <c:pt idx="56">
                  <c:v>416368</c:v>
                </c:pt>
                <c:pt idx="57">
                  <c:v>276653</c:v>
                </c:pt>
                <c:pt idx="58">
                  <c:v>233023</c:v>
                </c:pt>
                <c:pt idx="59">
                  <c:v>251018</c:v>
                </c:pt>
                <c:pt idx="60">
                  <c:v>238830</c:v>
                </c:pt>
                <c:pt idx="61">
                  <c:v>223083</c:v>
                </c:pt>
                <c:pt idx="62">
                  <c:v>256050</c:v>
                </c:pt>
                <c:pt idx="63">
                  <c:v>297372</c:v>
                </c:pt>
                <c:pt idx="64">
                  <c:v>315647</c:v>
                </c:pt>
                <c:pt idx="65">
                  <c:v>321570</c:v>
                </c:pt>
                <c:pt idx="66">
                  <c:v>313140</c:v>
                </c:pt>
                <c:pt idx="67">
                  <c:v>366270</c:v>
                </c:pt>
                <c:pt idx="68">
                  <c:v>314814</c:v>
                </c:pt>
                <c:pt idx="69">
                  <c:v>221484</c:v>
                </c:pt>
                <c:pt idx="70">
                  <c:v>192814</c:v>
                </c:pt>
                <c:pt idx="71">
                  <c:v>192912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4DB-434D-B20E-26490F1A6D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20523952"/>
        <c:axId val="320523536"/>
      </c:lineChart>
      <c:dateAx>
        <c:axId val="320523952"/>
        <c:scaling>
          <c:orientation val="minMax"/>
        </c:scaling>
        <c:delete val="0"/>
        <c:axPos val="b"/>
        <c:numFmt formatCode="mmmm\ yyyy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0523536"/>
        <c:crosses val="autoZero"/>
        <c:auto val="1"/>
        <c:lblOffset val="100"/>
        <c:baseTimeUnit val="months"/>
      </c:dateAx>
      <c:valAx>
        <c:axId val="3205235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>
                    <a:solidFill>
                      <a:sysClr val="windowText" lastClr="000000"/>
                    </a:solidFill>
                  </a:rPr>
                  <a:t>Обсяг піднятої води, м3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05239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none" spc="2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4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Обсягі водопостачання</a:t>
            </a:r>
            <a:r>
              <a:rPr lang="ru-RU" sz="14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та водовідведення по рокам</a:t>
            </a:r>
            <a:endParaRPr lang="ru-RU" sz="14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none" spc="2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'Загальний '!$B$2</c:f>
              <c:strCache>
                <c:ptCount val="1"/>
                <c:pt idx="0">
                  <c:v>Обсяг водопостачання, м3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tint val="50000"/>
                    <a:satMod val="300000"/>
                  </a:schemeClr>
                </a:gs>
                <a:gs pos="35000">
                  <a:schemeClr val="accent1">
                    <a:tint val="37000"/>
                    <a:satMod val="300000"/>
                  </a:schemeClr>
                </a:gs>
                <a:gs pos="100000">
                  <a:schemeClr val="accent1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p3d contourW="9525">
              <a:contourClr>
                <a:schemeClr val="accent1">
                  <a:shade val="95000"/>
                </a:schemeClr>
              </a:contourClr>
            </a:sp3d>
          </c:spPr>
          <c:invertIfNegative val="0"/>
          <c:cat>
            <c:numRef>
              <c:f>'Загальний '!$A$3:$A$9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'Загальний '!$B$3:$B$9</c:f>
              <c:numCache>
                <c:formatCode>General</c:formatCode>
                <c:ptCount val="7"/>
                <c:pt idx="0">
                  <c:v>2631.24</c:v>
                </c:pt>
                <c:pt idx="1">
                  <c:v>2304.4299999999998</c:v>
                </c:pt>
                <c:pt idx="2">
                  <c:v>2248.16</c:v>
                </c:pt>
                <c:pt idx="3">
                  <c:v>2498.9899999999998</c:v>
                </c:pt>
                <c:pt idx="4">
                  <c:v>2164.75</c:v>
                </c:pt>
                <c:pt idx="5">
                  <c:v>2090</c:v>
                </c:pt>
                <c:pt idx="6">
                  <c:v>2080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55-4A1B-9531-020EDE8808A2}"/>
            </c:ext>
          </c:extLst>
        </c:ser>
        <c:ser>
          <c:idx val="1"/>
          <c:order val="1"/>
          <c:tx>
            <c:strRef>
              <c:f>'Загальний '!$C$2</c:f>
              <c:strCache>
                <c:ptCount val="1"/>
                <c:pt idx="0">
                  <c:v>Обсяг водовідведення, м3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tint val="50000"/>
                    <a:satMod val="300000"/>
                  </a:schemeClr>
                </a:gs>
                <a:gs pos="35000">
                  <a:schemeClr val="accent2">
                    <a:tint val="37000"/>
                    <a:satMod val="300000"/>
                  </a:schemeClr>
                </a:gs>
                <a:gs pos="100000">
                  <a:schemeClr val="accent2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2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p3d contourW="9525">
              <a:contourClr>
                <a:schemeClr val="accent2">
                  <a:shade val="95000"/>
                </a:schemeClr>
              </a:contourClr>
            </a:sp3d>
          </c:spPr>
          <c:invertIfNegative val="0"/>
          <c:dPt>
            <c:idx val="0"/>
            <c:invertIfNegative val="0"/>
            <c:bubble3D val="0"/>
            <c:spPr>
              <a:gradFill rotWithShape="1">
                <a:gsLst>
                  <a:gs pos="0">
                    <a:schemeClr val="accent2">
                      <a:tint val="50000"/>
                      <a:satMod val="300000"/>
                    </a:schemeClr>
                  </a:gs>
                  <a:gs pos="35000">
                    <a:schemeClr val="accent2">
                      <a:tint val="37000"/>
                      <a:satMod val="300000"/>
                    </a:schemeClr>
                  </a:gs>
                  <a:gs pos="100000">
                    <a:schemeClr val="accent2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tx1"/>
                </a:solidFill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 contourW="9525">
                <a:contourClr>
                  <a:schemeClr val="tx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8-EA55-4A1B-9531-020EDE8808A2}"/>
              </c:ext>
            </c:extLst>
          </c:dPt>
          <c:dPt>
            <c:idx val="1"/>
            <c:invertIfNegative val="0"/>
            <c:bubble3D val="0"/>
            <c:spPr>
              <a:gradFill rotWithShape="1">
                <a:gsLst>
                  <a:gs pos="0">
                    <a:schemeClr val="accent2">
                      <a:tint val="50000"/>
                      <a:satMod val="300000"/>
                    </a:schemeClr>
                  </a:gs>
                  <a:gs pos="35000">
                    <a:schemeClr val="accent2">
                      <a:tint val="37000"/>
                      <a:satMod val="300000"/>
                    </a:schemeClr>
                  </a:gs>
                  <a:gs pos="100000">
                    <a:schemeClr val="accent2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tx1"/>
                </a:solidFill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 contourW="9525">
                <a:contourClr>
                  <a:schemeClr val="tx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2-EA55-4A1B-9531-020EDE8808A2}"/>
              </c:ext>
            </c:extLst>
          </c:dPt>
          <c:dPt>
            <c:idx val="2"/>
            <c:invertIfNegative val="0"/>
            <c:bubble3D val="0"/>
            <c:spPr>
              <a:gradFill rotWithShape="1">
                <a:gsLst>
                  <a:gs pos="0">
                    <a:schemeClr val="accent2">
                      <a:tint val="50000"/>
                      <a:satMod val="300000"/>
                    </a:schemeClr>
                  </a:gs>
                  <a:gs pos="35000">
                    <a:schemeClr val="accent2">
                      <a:tint val="37000"/>
                      <a:satMod val="300000"/>
                    </a:schemeClr>
                  </a:gs>
                  <a:gs pos="100000">
                    <a:schemeClr val="accent2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tx1"/>
                </a:solidFill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 contourW="9525">
                <a:contourClr>
                  <a:schemeClr val="tx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A55-4A1B-9531-020EDE8808A2}"/>
              </c:ext>
            </c:extLst>
          </c:dPt>
          <c:dPt>
            <c:idx val="3"/>
            <c:invertIfNegative val="0"/>
            <c:bubble3D val="0"/>
            <c:spPr>
              <a:gradFill rotWithShape="1">
                <a:gsLst>
                  <a:gs pos="0">
                    <a:schemeClr val="accent2">
                      <a:tint val="50000"/>
                      <a:satMod val="300000"/>
                    </a:schemeClr>
                  </a:gs>
                  <a:gs pos="35000">
                    <a:schemeClr val="accent2">
                      <a:tint val="37000"/>
                      <a:satMod val="300000"/>
                    </a:schemeClr>
                  </a:gs>
                  <a:gs pos="100000">
                    <a:schemeClr val="accent2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tx1"/>
                </a:solidFill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 contourW="9525">
                <a:contourClr>
                  <a:schemeClr val="tx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6-EA55-4A1B-9531-020EDE8808A2}"/>
              </c:ext>
            </c:extLst>
          </c:dPt>
          <c:dPt>
            <c:idx val="4"/>
            <c:invertIfNegative val="0"/>
            <c:bubble3D val="0"/>
            <c:spPr>
              <a:gradFill rotWithShape="1">
                <a:gsLst>
                  <a:gs pos="0">
                    <a:schemeClr val="accent2">
                      <a:tint val="50000"/>
                      <a:satMod val="300000"/>
                    </a:schemeClr>
                  </a:gs>
                  <a:gs pos="35000">
                    <a:schemeClr val="accent2">
                      <a:tint val="37000"/>
                      <a:satMod val="300000"/>
                    </a:schemeClr>
                  </a:gs>
                  <a:gs pos="100000">
                    <a:schemeClr val="accent2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tx1"/>
                </a:solidFill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 contourW="9525">
                <a:contourClr>
                  <a:schemeClr val="tx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A55-4A1B-9531-020EDE8808A2}"/>
              </c:ext>
            </c:extLst>
          </c:dPt>
          <c:dPt>
            <c:idx val="5"/>
            <c:invertIfNegative val="0"/>
            <c:bubble3D val="0"/>
            <c:spPr>
              <a:gradFill rotWithShape="1">
                <a:gsLst>
                  <a:gs pos="0">
                    <a:schemeClr val="accent2">
                      <a:tint val="50000"/>
                      <a:satMod val="300000"/>
                    </a:schemeClr>
                  </a:gs>
                  <a:gs pos="35000">
                    <a:schemeClr val="accent2">
                      <a:tint val="37000"/>
                      <a:satMod val="300000"/>
                    </a:schemeClr>
                  </a:gs>
                  <a:gs pos="100000">
                    <a:schemeClr val="accent2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tx1"/>
                </a:solidFill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 contourW="9525">
                <a:contourClr>
                  <a:schemeClr val="tx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4-EA55-4A1B-9531-020EDE8808A2}"/>
              </c:ext>
            </c:extLst>
          </c:dPt>
          <c:dPt>
            <c:idx val="6"/>
            <c:invertIfNegative val="0"/>
            <c:bubble3D val="0"/>
            <c:spPr>
              <a:gradFill rotWithShape="1">
                <a:gsLst>
                  <a:gs pos="0">
                    <a:schemeClr val="accent2">
                      <a:tint val="50000"/>
                      <a:satMod val="300000"/>
                    </a:schemeClr>
                  </a:gs>
                  <a:gs pos="35000">
                    <a:schemeClr val="accent2">
                      <a:tint val="37000"/>
                      <a:satMod val="300000"/>
                    </a:schemeClr>
                  </a:gs>
                  <a:gs pos="100000">
                    <a:schemeClr val="accent2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tx1"/>
                </a:solidFill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 contourW="9525">
                <a:contourClr>
                  <a:schemeClr val="tx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A55-4A1B-9531-020EDE8808A2}"/>
              </c:ext>
            </c:extLst>
          </c:dPt>
          <c:cat>
            <c:numRef>
              <c:f>'Загальний '!$A$3:$A$9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'Загальний '!$C$3:$C$9</c:f>
              <c:numCache>
                <c:formatCode>General</c:formatCode>
                <c:ptCount val="7"/>
                <c:pt idx="0">
                  <c:v>1534.86</c:v>
                </c:pt>
                <c:pt idx="1">
                  <c:v>1681.14</c:v>
                </c:pt>
                <c:pt idx="2">
                  <c:v>1687.98</c:v>
                </c:pt>
                <c:pt idx="3">
                  <c:v>1761.76</c:v>
                </c:pt>
                <c:pt idx="4">
                  <c:v>1730.09</c:v>
                </c:pt>
                <c:pt idx="5">
                  <c:v>1715</c:v>
                </c:pt>
                <c:pt idx="6">
                  <c:v>1700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A55-4A1B-9531-020EDE8808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144"/>
        <c:shape val="box"/>
        <c:axId val="491025952"/>
        <c:axId val="491026368"/>
        <c:axId val="0"/>
      </c:bar3DChart>
      <c:catAx>
        <c:axId val="49102595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cap="all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b="1">
                    <a:solidFill>
                      <a:sysClr val="windowText" lastClr="000000"/>
                    </a:solidFill>
                  </a:rPr>
                  <a:t>Період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cap="all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91026368"/>
        <c:crosses val="autoZero"/>
        <c:auto val="1"/>
        <c:lblAlgn val="ctr"/>
        <c:lblOffset val="100"/>
        <c:noMultiLvlLbl val="0"/>
      </c:catAx>
      <c:valAx>
        <c:axId val="4910263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cap="all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b="1">
                    <a:solidFill>
                      <a:sysClr val="windowText" lastClr="000000"/>
                    </a:solidFill>
                  </a:rPr>
                  <a:t>Обсяг</a:t>
                </a:r>
                <a:r>
                  <a:rPr lang="ru-RU" b="1" baseline="0">
                    <a:solidFill>
                      <a:sysClr val="windowText" lastClr="000000"/>
                    </a:solidFill>
                  </a:rPr>
                  <a:t> послуг, тис.м3</a:t>
                </a:r>
                <a:endParaRPr lang="ru-RU" b="1">
                  <a:solidFill>
                    <a:sysClr val="windowText" lastClr="000000"/>
                  </a:solidFill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cap="all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91025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ysClr val="windowText" lastClr="000000"/>
                </a:solidFill>
              </a:rPr>
              <a:t>Плановий обсяг споживання води</a:t>
            </a:r>
            <a:r>
              <a:rPr lang="ru-RU" baseline="0">
                <a:solidFill>
                  <a:sysClr val="windowText" lastClr="000000"/>
                </a:solidFill>
              </a:rPr>
              <a:t> у 2021 році</a:t>
            </a:r>
            <a:endParaRPr lang="ru-RU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Лист1!$B$2</c:f>
              <c:strCache>
                <c:ptCount val="1"/>
                <c:pt idx="0">
                  <c:v>Плановий обсяг реалізації, тис. м3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bg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E5D-4439-BCC1-D867DB6D726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E5D-4439-BCC1-D867DB6D726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E5D-4439-BCC1-D867DB6D726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1E5D-4439-BCC1-D867DB6D7263}"/>
              </c:ext>
            </c:extLst>
          </c:dPt>
          <c:dLbls>
            <c:dLbl>
              <c:idx val="0"/>
              <c:layout>
                <c:manualLayout>
                  <c:x val="6.1039481618582539E-2"/>
                  <c:y val="-7.935459317585301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E5D-4439-BCC1-D867DB6D7263}"/>
                </c:ext>
              </c:extLst>
            </c:dLbl>
            <c:dLbl>
              <c:idx val="1"/>
              <c:layout>
                <c:manualLayout>
                  <c:x val="-3.3058579330970082E-2"/>
                  <c:y val="4.750551181102362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E5D-4439-BCC1-D867DB6D7263}"/>
                </c:ext>
              </c:extLst>
            </c:dLbl>
            <c:dLbl>
              <c:idx val="2"/>
              <c:layout>
                <c:manualLayout>
                  <c:x val="-6.8733552230274012E-2"/>
                  <c:y val="-1.055669291338582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E5D-4439-BCC1-D867DB6D7263}"/>
                </c:ext>
              </c:extLst>
            </c:dLbl>
            <c:dLbl>
              <c:idx val="3"/>
              <c:layout>
                <c:manualLayout>
                  <c:x val="-3.4308696970647597E-2"/>
                  <c:y val="2.519160104986876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E5D-4439-BCC1-D867DB6D726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Лист1!$A$3:$A$6</c:f>
              <c:strCache>
                <c:ptCount val="4"/>
                <c:pt idx="0">
                  <c:v>Населення</c:v>
                </c:pt>
                <c:pt idx="1">
                  <c:v>Компобут підприємств</c:v>
                </c:pt>
                <c:pt idx="2">
                  <c:v>Компобут бюджетних організацій</c:v>
                </c:pt>
                <c:pt idx="3">
                  <c:v>Промислове споживання</c:v>
                </c:pt>
              </c:strCache>
            </c:strRef>
          </c:cat>
          <c:val>
            <c:numRef>
              <c:f>Лист1!$B$3:$B$6</c:f>
              <c:numCache>
                <c:formatCode>#,##0</c:formatCode>
                <c:ptCount val="4"/>
                <c:pt idx="0">
                  <c:v>1484</c:v>
                </c:pt>
                <c:pt idx="1">
                  <c:v>203</c:v>
                </c:pt>
                <c:pt idx="2">
                  <c:v>86</c:v>
                </c:pt>
                <c:pt idx="3">
                  <c:v>307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1B-4EB2-A419-EF4D52378871}"/>
            </c:ext>
          </c:extLst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Плановий обсяг споживання</c:v>
                </c:pt>
              </c:strCache>
            </c:strRef>
          </c:tx>
          <c:dPt>
            <c:idx val="0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521B-4EB2-A419-EF4D5237887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4-521B-4EB2-A419-EF4D5237887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6-521B-4EB2-A419-EF4D5237887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8-521B-4EB2-A419-EF4D52378871}"/>
              </c:ext>
            </c:extLst>
          </c:dPt>
          <c:dLbls>
            <c:dLbl>
              <c:idx val="0"/>
              <c:layout>
                <c:manualLayout>
                  <c:x val="-0.15542423481925316"/>
                  <c:y val="-0.2051879265091863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21B-4EB2-A419-EF4D5237887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Лист1!$A$3:$A$6</c:f>
              <c:strCache>
                <c:ptCount val="4"/>
                <c:pt idx="0">
                  <c:v>Населення</c:v>
                </c:pt>
                <c:pt idx="1">
                  <c:v>Компобут підприємств</c:v>
                </c:pt>
                <c:pt idx="2">
                  <c:v>Компобут бюджетних організацій</c:v>
                </c:pt>
                <c:pt idx="3">
                  <c:v>Промислове споживання</c:v>
                </c:pt>
              </c:strCache>
            </c:strRef>
          </c:cat>
          <c:val>
            <c:numRef>
              <c:f>Лист1!$C$3:$C$6</c:f>
              <c:numCache>
                <c:formatCode>0%</c:formatCode>
                <c:ptCount val="4"/>
                <c:pt idx="0">
                  <c:v>0.71346153846153848</c:v>
                </c:pt>
                <c:pt idx="1">
                  <c:v>9.7596153846153846E-2</c:v>
                </c:pt>
                <c:pt idx="2">
                  <c:v>4.1346153846153845E-2</c:v>
                </c:pt>
                <c:pt idx="3">
                  <c:v>0.14759615384615385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521B-4EB2-A419-EF4D52378871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Графік реалізації води населенню:</a:t>
            </a:r>
            <a:r>
              <a:rPr lang="ru-RU" baseline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приватний сектор, багатоповерхові будинки за період 2016-2020</a:t>
            </a:r>
            <a:endParaRPr lang="ru-RU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6"/>
          <c:order val="0"/>
          <c:tx>
            <c:strRef>
              <c:f>Вода!$H$3</c:f>
              <c:strCache>
                <c:ptCount val="1"/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numRef>
              <c:f>Вода!$A$4:$A$203</c:f>
              <c:numCache>
                <c:formatCode>mm/yyyy</c:formatCode>
                <c:ptCount val="56"/>
                <c:pt idx="0">
                  <c:v>42370</c:v>
                </c:pt>
                <c:pt idx="1">
                  <c:v>42401</c:v>
                </c:pt>
                <c:pt idx="2">
                  <c:v>42430</c:v>
                </c:pt>
                <c:pt idx="3">
                  <c:v>42461</c:v>
                </c:pt>
                <c:pt idx="4">
                  <c:v>42491</c:v>
                </c:pt>
                <c:pt idx="5">
                  <c:v>42522</c:v>
                </c:pt>
                <c:pt idx="6">
                  <c:v>42552</c:v>
                </c:pt>
                <c:pt idx="7">
                  <c:v>42583</c:v>
                </c:pt>
                <c:pt idx="8">
                  <c:v>42614</c:v>
                </c:pt>
                <c:pt idx="9">
                  <c:v>42644</c:v>
                </c:pt>
                <c:pt idx="10">
                  <c:v>42675</c:v>
                </c:pt>
                <c:pt idx="11">
                  <c:v>42705</c:v>
                </c:pt>
                <c:pt idx="12">
                  <c:v>42736</c:v>
                </c:pt>
                <c:pt idx="13">
                  <c:v>42767</c:v>
                </c:pt>
                <c:pt idx="14">
                  <c:v>42795</c:v>
                </c:pt>
                <c:pt idx="15">
                  <c:v>42826</c:v>
                </c:pt>
                <c:pt idx="16">
                  <c:v>42856</c:v>
                </c:pt>
                <c:pt idx="17">
                  <c:v>42887</c:v>
                </c:pt>
                <c:pt idx="18">
                  <c:v>42917</c:v>
                </c:pt>
                <c:pt idx="19">
                  <c:v>42948</c:v>
                </c:pt>
                <c:pt idx="20">
                  <c:v>42979</c:v>
                </c:pt>
                <c:pt idx="21">
                  <c:v>43009</c:v>
                </c:pt>
                <c:pt idx="22">
                  <c:v>43040</c:v>
                </c:pt>
                <c:pt idx="23">
                  <c:v>43070</c:v>
                </c:pt>
                <c:pt idx="24">
                  <c:v>43101</c:v>
                </c:pt>
                <c:pt idx="25">
                  <c:v>43132</c:v>
                </c:pt>
                <c:pt idx="26">
                  <c:v>43160</c:v>
                </c:pt>
                <c:pt idx="27">
                  <c:v>43191</c:v>
                </c:pt>
                <c:pt idx="28">
                  <c:v>43221</c:v>
                </c:pt>
                <c:pt idx="29">
                  <c:v>43252</c:v>
                </c:pt>
                <c:pt idx="30">
                  <c:v>43282</c:v>
                </c:pt>
                <c:pt idx="31">
                  <c:v>43313</c:v>
                </c:pt>
                <c:pt idx="32">
                  <c:v>43344</c:v>
                </c:pt>
                <c:pt idx="33">
                  <c:v>43374</c:v>
                </c:pt>
                <c:pt idx="34">
                  <c:v>43405</c:v>
                </c:pt>
                <c:pt idx="35">
                  <c:v>43435</c:v>
                </c:pt>
                <c:pt idx="36">
                  <c:v>43466</c:v>
                </c:pt>
                <c:pt idx="37">
                  <c:v>43497</c:v>
                </c:pt>
                <c:pt idx="38">
                  <c:v>43525</c:v>
                </c:pt>
                <c:pt idx="39">
                  <c:v>43556</c:v>
                </c:pt>
                <c:pt idx="40">
                  <c:v>43586</c:v>
                </c:pt>
                <c:pt idx="41">
                  <c:v>43617</c:v>
                </c:pt>
                <c:pt idx="42">
                  <c:v>43647</c:v>
                </c:pt>
                <c:pt idx="43">
                  <c:v>43678</c:v>
                </c:pt>
                <c:pt idx="44">
                  <c:v>43709</c:v>
                </c:pt>
                <c:pt idx="45">
                  <c:v>43739</c:v>
                </c:pt>
                <c:pt idx="46">
                  <c:v>43770</c:v>
                </c:pt>
                <c:pt idx="47">
                  <c:v>43800</c:v>
                </c:pt>
                <c:pt idx="48">
                  <c:v>43831</c:v>
                </c:pt>
                <c:pt idx="49">
                  <c:v>43862</c:v>
                </c:pt>
                <c:pt idx="50">
                  <c:v>43891</c:v>
                </c:pt>
                <c:pt idx="51">
                  <c:v>43922</c:v>
                </c:pt>
                <c:pt idx="52">
                  <c:v>43952</c:v>
                </c:pt>
                <c:pt idx="53">
                  <c:v>43983</c:v>
                </c:pt>
                <c:pt idx="54">
                  <c:v>44013</c:v>
                </c:pt>
                <c:pt idx="55">
                  <c:v>44044</c:v>
                </c:pt>
              </c:numCache>
            </c:numRef>
          </c:cat>
          <c:val>
            <c:numRef>
              <c:f>Вода!$H$4:$H$203</c:f>
              <c:numCache>
                <c:formatCode>General</c:formatCode>
                <c:ptCount val="56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4BD1-465E-8FFC-2E21B4054BB5}"/>
            </c:ext>
          </c:extLst>
        </c:ser>
        <c:ser>
          <c:idx val="7"/>
          <c:order val="1"/>
          <c:tx>
            <c:strRef>
              <c:f>Вода!$I$3</c:f>
              <c:strCache>
                <c:ptCount val="1"/>
                <c:pt idx="0">
                  <c:v>Населення приватний сектор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2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Вода!$A$4:$A$203</c:f>
              <c:numCache>
                <c:formatCode>mm/yyyy</c:formatCode>
                <c:ptCount val="56"/>
                <c:pt idx="0">
                  <c:v>42370</c:v>
                </c:pt>
                <c:pt idx="1">
                  <c:v>42401</c:v>
                </c:pt>
                <c:pt idx="2">
                  <c:v>42430</c:v>
                </c:pt>
                <c:pt idx="3">
                  <c:v>42461</c:v>
                </c:pt>
                <c:pt idx="4">
                  <c:v>42491</c:v>
                </c:pt>
                <c:pt idx="5">
                  <c:v>42522</c:v>
                </c:pt>
                <c:pt idx="6">
                  <c:v>42552</c:v>
                </c:pt>
                <c:pt idx="7">
                  <c:v>42583</c:v>
                </c:pt>
                <c:pt idx="8">
                  <c:v>42614</c:v>
                </c:pt>
                <c:pt idx="9">
                  <c:v>42644</c:v>
                </c:pt>
                <c:pt idx="10">
                  <c:v>42675</c:v>
                </c:pt>
                <c:pt idx="11">
                  <c:v>42705</c:v>
                </c:pt>
                <c:pt idx="12">
                  <c:v>42736</c:v>
                </c:pt>
                <c:pt idx="13">
                  <c:v>42767</c:v>
                </c:pt>
                <c:pt idx="14">
                  <c:v>42795</c:v>
                </c:pt>
                <c:pt idx="15">
                  <c:v>42826</c:v>
                </c:pt>
                <c:pt idx="16">
                  <c:v>42856</c:v>
                </c:pt>
                <c:pt idx="17">
                  <c:v>42887</c:v>
                </c:pt>
                <c:pt idx="18">
                  <c:v>42917</c:v>
                </c:pt>
                <c:pt idx="19">
                  <c:v>42948</c:v>
                </c:pt>
                <c:pt idx="20">
                  <c:v>42979</c:v>
                </c:pt>
                <c:pt idx="21">
                  <c:v>43009</c:v>
                </c:pt>
                <c:pt idx="22">
                  <c:v>43040</c:v>
                </c:pt>
                <c:pt idx="23">
                  <c:v>43070</c:v>
                </c:pt>
                <c:pt idx="24">
                  <c:v>43101</c:v>
                </c:pt>
                <c:pt idx="25">
                  <c:v>43132</c:v>
                </c:pt>
                <c:pt idx="26">
                  <c:v>43160</c:v>
                </c:pt>
                <c:pt idx="27">
                  <c:v>43191</c:v>
                </c:pt>
                <c:pt idx="28">
                  <c:v>43221</c:v>
                </c:pt>
                <c:pt idx="29">
                  <c:v>43252</c:v>
                </c:pt>
                <c:pt idx="30">
                  <c:v>43282</c:v>
                </c:pt>
                <c:pt idx="31">
                  <c:v>43313</c:v>
                </c:pt>
                <c:pt idx="32">
                  <c:v>43344</c:v>
                </c:pt>
                <c:pt idx="33">
                  <c:v>43374</c:v>
                </c:pt>
                <c:pt idx="34">
                  <c:v>43405</c:v>
                </c:pt>
                <c:pt idx="35">
                  <c:v>43435</c:v>
                </c:pt>
                <c:pt idx="36">
                  <c:v>43466</c:v>
                </c:pt>
                <c:pt idx="37">
                  <c:v>43497</c:v>
                </c:pt>
                <c:pt idx="38">
                  <c:v>43525</c:v>
                </c:pt>
                <c:pt idx="39">
                  <c:v>43556</c:v>
                </c:pt>
                <c:pt idx="40">
                  <c:v>43586</c:v>
                </c:pt>
                <c:pt idx="41">
                  <c:v>43617</c:v>
                </c:pt>
                <c:pt idx="42">
                  <c:v>43647</c:v>
                </c:pt>
                <c:pt idx="43">
                  <c:v>43678</c:v>
                </c:pt>
                <c:pt idx="44">
                  <c:v>43709</c:v>
                </c:pt>
                <c:pt idx="45">
                  <c:v>43739</c:v>
                </c:pt>
                <c:pt idx="46">
                  <c:v>43770</c:v>
                </c:pt>
                <c:pt idx="47">
                  <c:v>43800</c:v>
                </c:pt>
                <c:pt idx="48">
                  <c:v>43831</c:v>
                </c:pt>
                <c:pt idx="49">
                  <c:v>43862</c:v>
                </c:pt>
                <c:pt idx="50">
                  <c:v>43891</c:v>
                </c:pt>
                <c:pt idx="51">
                  <c:v>43922</c:v>
                </c:pt>
                <c:pt idx="52">
                  <c:v>43952</c:v>
                </c:pt>
                <c:pt idx="53">
                  <c:v>43983</c:v>
                </c:pt>
                <c:pt idx="54">
                  <c:v>44013</c:v>
                </c:pt>
                <c:pt idx="55">
                  <c:v>44044</c:v>
                </c:pt>
              </c:numCache>
            </c:numRef>
          </c:cat>
          <c:val>
            <c:numRef>
              <c:f>Вода!$I$4:$I$203</c:f>
              <c:numCache>
                <c:formatCode>#,##0</c:formatCode>
                <c:ptCount val="56"/>
                <c:pt idx="0">
                  <c:v>46712</c:v>
                </c:pt>
                <c:pt idx="1">
                  <c:v>46463</c:v>
                </c:pt>
                <c:pt idx="2">
                  <c:v>46788</c:v>
                </c:pt>
                <c:pt idx="3">
                  <c:v>75347</c:v>
                </c:pt>
                <c:pt idx="4">
                  <c:v>108596</c:v>
                </c:pt>
                <c:pt idx="5">
                  <c:v>110217</c:v>
                </c:pt>
                <c:pt idx="6">
                  <c:v>120155</c:v>
                </c:pt>
                <c:pt idx="7">
                  <c:v>119465</c:v>
                </c:pt>
                <c:pt idx="8">
                  <c:v>88631</c:v>
                </c:pt>
                <c:pt idx="9">
                  <c:v>51703</c:v>
                </c:pt>
                <c:pt idx="10">
                  <c:v>48011</c:v>
                </c:pt>
                <c:pt idx="11">
                  <c:v>48651</c:v>
                </c:pt>
                <c:pt idx="12">
                  <c:v>46548</c:v>
                </c:pt>
                <c:pt idx="13">
                  <c:v>46107</c:v>
                </c:pt>
                <c:pt idx="14">
                  <c:v>48022</c:v>
                </c:pt>
                <c:pt idx="15">
                  <c:v>75303</c:v>
                </c:pt>
                <c:pt idx="16">
                  <c:v>112710</c:v>
                </c:pt>
                <c:pt idx="17">
                  <c:v>117654</c:v>
                </c:pt>
                <c:pt idx="18">
                  <c:v>116410</c:v>
                </c:pt>
                <c:pt idx="19">
                  <c:v>117280</c:v>
                </c:pt>
                <c:pt idx="20">
                  <c:v>85197</c:v>
                </c:pt>
                <c:pt idx="21">
                  <c:v>52758</c:v>
                </c:pt>
                <c:pt idx="22">
                  <c:v>50790</c:v>
                </c:pt>
                <c:pt idx="23">
                  <c:v>48516</c:v>
                </c:pt>
                <c:pt idx="24">
                  <c:v>61122</c:v>
                </c:pt>
                <c:pt idx="25">
                  <c:v>60701</c:v>
                </c:pt>
                <c:pt idx="26">
                  <c:v>60092</c:v>
                </c:pt>
                <c:pt idx="27">
                  <c:v>86706</c:v>
                </c:pt>
                <c:pt idx="28">
                  <c:v>120074</c:v>
                </c:pt>
                <c:pt idx="29">
                  <c:v>125861</c:v>
                </c:pt>
                <c:pt idx="30">
                  <c:v>125265</c:v>
                </c:pt>
                <c:pt idx="31">
                  <c:v>117964</c:v>
                </c:pt>
                <c:pt idx="32">
                  <c:v>102200</c:v>
                </c:pt>
                <c:pt idx="33">
                  <c:v>64335</c:v>
                </c:pt>
                <c:pt idx="34">
                  <c:v>57160</c:v>
                </c:pt>
                <c:pt idx="35">
                  <c:v>55061</c:v>
                </c:pt>
                <c:pt idx="36">
                  <c:v>54896</c:v>
                </c:pt>
                <c:pt idx="37">
                  <c:v>54031</c:v>
                </c:pt>
                <c:pt idx="38">
                  <c:v>54768</c:v>
                </c:pt>
                <c:pt idx="39">
                  <c:v>77976</c:v>
                </c:pt>
                <c:pt idx="40">
                  <c:v>105321</c:v>
                </c:pt>
                <c:pt idx="41">
                  <c:v>105860</c:v>
                </c:pt>
                <c:pt idx="42">
                  <c:v>109440</c:v>
                </c:pt>
                <c:pt idx="43">
                  <c:v>104947</c:v>
                </c:pt>
                <c:pt idx="44">
                  <c:v>92907</c:v>
                </c:pt>
                <c:pt idx="45">
                  <c:v>59377</c:v>
                </c:pt>
                <c:pt idx="46">
                  <c:v>52572</c:v>
                </c:pt>
                <c:pt idx="47">
                  <c:v>49951</c:v>
                </c:pt>
                <c:pt idx="48">
                  <c:v>51294</c:v>
                </c:pt>
                <c:pt idx="49">
                  <c:v>50329</c:v>
                </c:pt>
                <c:pt idx="50">
                  <c:v>53084</c:v>
                </c:pt>
                <c:pt idx="51">
                  <c:v>81467</c:v>
                </c:pt>
                <c:pt idx="52">
                  <c:v>95101</c:v>
                </c:pt>
                <c:pt idx="53">
                  <c:v>97369</c:v>
                </c:pt>
                <c:pt idx="54">
                  <c:v>107944</c:v>
                </c:pt>
                <c:pt idx="55">
                  <c:v>102016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4BD1-465E-8FFC-2E21B4054BB5}"/>
            </c:ext>
          </c:extLst>
        </c:ser>
        <c:ser>
          <c:idx val="8"/>
          <c:order val="2"/>
          <c:tx>
            <c:strRef>
              <c:f>Вода!$J$3</c:f>
              <c:strCache>
                <c:ptCount val="1"/>
                <c:pt idx="0">
                  <c:v>Населення багатоповерхівки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3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Вода!$A$4:$A$203</c:f>
              <c:numCache>
                <c:formatCode>mm/yyyy</c:formatCode>
                <c:ptCount val="56"/>
                <c:pt idx="0">
                  <c:v>42370</c:v>
                </c:pt>
                <c:pt idx="1">
                  <c:v>42401</c:v>
                </c:pt>
                <c:pt idx="2">
                  <c:v>42430</c:v>
                </c:pt>
                <c:pt idx="3">
                  <c:v>42461</c:v>
                </c:pt>
                <c:pt idx="4">
                  <c:v>42491</c:v>
                </c:pt>
                <c:pt idx="5">
                  <c:v>42522</c:v>
                </c:pt>
                <c:pt idx="6">
                  <c:v>42552</c:v>
                </c:pt>
                <c:pt idx="7">
                  <c:v>42583</c:v>
                </c:pt>
                <c:pt idx="8">
                  <c:v>42614</c:v>
                </c:pt>
                <c:pt idx="9">
                  <c:v>42644</c:v>
                </c:pt>
                <c:pt idx="10">
                  <c:v>42675</c:v>
                </c:pt>
                <c:pt idx="11">
                  <c:v>42705</c:v>
                </c:pt>
                <c:pt idx="12">
                  <c:v>42736</c:v>
                </c:pt>
                <c:pt idx="13">
                  <c:v>42767</c:v>
                </c:pt>
                <c:pt idx="14">
                  <c:v>42795</c:v>
                </c:pt>
                <c:pt idx="15">
                  <c:v>42826</c:v>
                </c:pt>
                <c:pt idx="16">
                  <c:v>42856</c:v>
                </c:pt>
                <c:pt idx="17">
                  <c:v>42887</c:v>
                </c:pt>
                <c:pt idx="18">
                  <c:v>42917</c:v>
                </c:pt>
                <c:pt idx="19">
                  <c:v>42948</c:v>
                </c:pt>
                <c:pt idx="20">
                  <c:v>42979</c:v>
                </c:pt>
                <c:pt idx="21">
                  <c:v>43009</c:v>
                </c:pt>
                <c:pt idx="22">
                  <c:v>43040</c:v>
                </c:pt>
                <c:pt idx="23">
                  <c:v>43070</c:v>
                </c:pt>
                <c:pt idx="24">
                  <c:v>43101</c:v>
                </c:pt>
                <c:pt idx="25">
                  <c:v>43132</c:v>
                </c:pt>
                <c:pt idx="26">
                  <c:v>43160</c:v>
                </c:pt>
                <c:pt idx="27">
                  <c:v>43191</c:v>
                </c:pt>
                <c:pt idx="28">
                  <c:v>43221</c:v>
                </c:pt>
                <c:pt idx="29">
                  <c:v>43252</c:v>
                </c:pt>
                <c:pt idx="30">
                  <c:v>43282</c:v>
                </c:pt>
                <c:pt idx="31">
                  <c:v>43313</c:v>
                </c:pt>
                <c:pt idx="32">
                  <c:v>43344</c:v>
                </c:pt>
                <c:pt idx="33">
                  <c:v>43374</c:v>
                </c:pt>
                <c:pt idx="34">
                  <c:v>43405</c:v>
                </c:pt>
                <c:pt idx="35">
                  <c:v>43435</c:v>
                </c:pt>
                <c:pt idx="36">
                  <c:v>43466</c:v>
                </c:pt>
                <c:pt idx="37">
                  <c:v>43497</c:v>
                </c:pt>
                <c:pt idx="38">
                  <c:v>43525</c:v>
                </c:pt>
                <c:pt idx="39">
                  <c:v>43556</c:v>
                </c:pt>
                <c:pt idx="40">
                  <c:v>43586</c:v>
                </c:pt>
                <c:pt idx="41">
                  <c:v>43617</c:v>
                </c:pt>
                <c:pt idx="42">
                  <c:v>43647</c:v>
                </c:pt>
                <c:pt idx="43">
                  <c:v>43678</c:v>
                </c:pt>
                <c:pt idx="44">
                  <c:v>43709</c:v>
                </c:pt>
                <c:pt idx="45">
                  <c:v>43739</c:v>
                </c:pt>
                <c:pt idx="46">
                  <c:v>43770</c:v>
                </c:pt>
                <c:pt idx="47">
                  <c:v>43800</c:v>
                </c:pt>
                <c:pt idx="48">
                  <c:v>43831</c:v>
                </c:pt>
                <c:pt idx="49">
                  <c:v>43862</c:v>
                </c:pt>
                <c:pt idx="50">
                  <c:v>43891</c:v>
                </c:pt>
                <c:pt idx="51">
                  <c:v>43922</c:v>
                </c:pt>
                <c:pt idx="52">
                  <c:v>43952</c:v>
                </c:pt>
                <c:pt idx="53">
                  <c:v>43983</c:v>
                </c:pt>
                <c:pt idx="54">
                  <c:v>44013</c:v>
                </c:pt>
                <c:pt idx="55">
                  <c:v>44044</c:v>
                </c:pt>
              </c:numCache>
            </c:numRef>
          </c:cat>
          <c:val>
            <c:numRef>
              <c:f>Вода!$J$4:$J$203</c:f>
              <c:numCache>
                <c:formatCode>#,##0</c:formatCode>
                <c:ptCount val="56"/>
                <c:pt idx="0">
                  <c:v>58537</c:v>
                </c:pt>
                <c:pt idx="1">
                  <c:v>55182</c:v>
                </c:pt>
                <c:pt idx="2">
                  <c:v>55146</c:v>
                </c:pt>
                <c:pt idx="3">
                  <c:v>56748</c:v>
                </c:pt>
                <c:pt idx="4">
                  <c:v>61666</c:v>
                </c:pt>
                <c:pt idx="5">
                  <c:v>57625</c:v>
                </c:pt>
                <c:pt idx="6">
                  <c:v>60005</c:v>
                </c:pt>
                <c:pt idx="7">
                  <c:v>62948</c:v>
                </c:pt>
                <c:pt idx="8">
                  <c:v>63469</c:v>
                </c:pt>
                <c:pt idx="9">
                  <c:v>57704</c:v>
                </c:pt>
                <c:pt idx="10">
                  <c:v>56311</c:v>
                </c:pt>
                <c:pt idx="11">
                  <c:v>74433</c:v>
                </c:pt>
                <c:pt idx="12">
                  <c:v>61737</c:v>
                </c:pt>
                <c:pt idx="13">
                  <c:v>52036</c:v>
                </c:pt>
                <c:pt idx="14">
                  <c:v>54259</c:v>
                </c:pt>
                <c:pt idx="15">
                  <c:v>57219</c:v>
                </c:pt>
                <c:pt idx="16">
                  <c:v>54600</c:v>
                </c:pt>
                <c:pt idx="17">
                  <c:v>54900</c:v>
                </c:pt>
                <c:pt idx="18">
                  <c:v>55784</c:v>
                </c:pt>
                <c:pt idx="19">
                  <c:v>59562</c:v>
                </c:pt>
                <c:pt idx="20">
                  <c:v>55921</c:v>
                </c:pt>
                <c:pt idx="21">
                  <c:v>55018</c:v>
                </c:pt>
                <c:pt idx="22">
                  <c:v>54803</c:v>
                </c:pt>
                <c:pt idx="23">
                  <c:v>55518</c:v>
                </c:pt>
                <c:pt idx="24">
                  <c:v>59074</c:v>
                </c:pt>
                <c:pt idx="25">
                  <c:v>55300</c:v>
                </c:pt>
                <c:pt idx="26">
                  <c:v>54969</c:v>
                </c:pt>
                <c:pt idx="27">
                  <c:v>55033</c:v>
                </c:pt>
                <c:pt idx="28">
                  <c:v>56244</c:v>
                </c:pt>
                <c:pt idx="29">
                  <c:v>54461</c:v>
                </c:pt>
                <c:pt idx="30">
                  <c:v>59440</c:v>
                </c:pt>
                <c:pt idx="31">
                  <c:v>57936</c:v>
                </c:pt>
                <c:pt idx="32">
                  <c:v>55952</c:v>
                </c:pt>
                <c:pt idx="33">
                  <c:v>53355</c:v>
                </c:pt>
                <c:pt idx="34">
                  <c:v>51422</c:v>
                </c:pt>
                <c:pt idx="35">
                  <c:v>48500</c:v>
                </c:pt>
                <c:pt idx="36">
                  <c:v>53154</c:v>
                </c:pt>
                <c:pt idx="37">
                  <c:v>49601</c:v>
                </c:pt>
                <c:pt idx="38">
                  <c:v>48915</c:v>
                </c:pt>
                <c:pt idx="39">
                  <c:v>49382</c:v>
                </c:pt>
                <c:pt idx="40">
                  <c:v>53126</c:v>
                </c:pt>
                <c:pt idx="41">
                  <c:v>51428</c:v>
                </c:pt>
                <c:pt idx="42">
                  <c:v>52797</c:v>
                </c:pt>
                <c:pt idx="43">
                  <c:v>54526</c:v>
                </c:pt>
                <c:pt idx="44">
                  <c:v>53877</c:v>
                </c:pt>
                <c:pt idx="45">
                  <c:v>51316</c:v>
                </c:pt>
                <c:pt idx="46">
                  <c:v>50965</c:v>
                </c:pt>
                <c:pt idx="47">
                  <c:v>46575</c:v>
                </c:pt>
                <c:pt idx="48">
                  <c:v>55246</c:v>
                </c:pt>
                <c:pt idx="49">
                  <c:v>49025</c:v>
                </c:pt>
                <c:pt idx="50">
                  <c:v>49273</c:v>
                </c:pt>
                <c:pt idx="51">
                  <c:v>56603</c:v>
                </c:pt>
                <c:pt idx="52">
                  <c:v>51012</c:v>
                </c:pt>
                <c:pt idx="53">
                  <c:v>55609</c:v>
                </c:pt>
                <c:pt idx="54">
                  <c:v>58135</c:v>
                </c:pt>
                <c:pt idx="55">
                  <c:v>56980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4BD1-465E-8FFC-2E21B4054B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0526032"/>
        <c:axId val="320525616"/>
      </c:lineChart>
      <c:dateAx>
        <c:axId val="320526032"/>
        <c:scaling>
          <c:orientation val="minMax"/>
        </c:scaling>
        <c:delete val="0"/>
        <c:axPos val="b"/>
        <c:numFmt formatCode="mm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0525616"/>
        <c:crosses val="autoZero"/>
        <c:auto val="1"/>
        <c:lblOffset val="100"/>
        <c:baseTimeUnit val="months"/>
      </c:dateAx>
      <c:valAx>
        <c:axId val="320525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>
                    <a:solidFill>
                      <a:sysClr val="windowText" lastClr="000000"/>
                    </a:solidFill>
                  </a:rPr>
                  <a:t>Обсяг</a:t>
                </a:r>
                <a:r>
                  <a:rPr lang="ru-RU" baseline="0">
                    <a:solidFill>
                      <a:sysClr val="windowText" lastClr="000000"/>
                    </a:solidFill>
                  </a:rPr>
                  <a:t> споживання, м3</a:t>
                </a:r>
                <a:endParaRPr lang="ru-RU">
                  <a:solidFill>
                    <a:sysClr val="windowText" lastClr="000000"/>
                  </a:solidFill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05260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legendEntry>
        <c:idx val="3"/>
        <c:delete val="1"/>
      </c:legendEntry>
      <c:legendEntry>
        <c:idx val="4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Графік</a:t>
            </a:r>
            <a:r>
              <a:rPr lang="ru-RU" sz="1200" baseline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реалізації води на комунально-побутові потреби підприємств м. Каховка за період 2018-2020 роки</a:t>
            </a:r>
            <a:endParaRPr lang="ru-RU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'Прогноз КБП'!$B$1</c:f>
              <c:strCache>
                <c:ptCount val="1"/>
                <c:pt idx="0">
                  <c:v>Обсяг, м3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'Прогноз КБП'!$A$2:$A$40</c:f>
              <c:numCache>
                <c:formatCode>General</c:formatCode>
                <c:ptCount val="39"/>
                <c:pt idx="3" formatCode="mm/yyyy;@">
                  <c:v>43101</c:v>
                </c:pt>
                <c:pt idx="4" formatCode="mm/yyyy;@">
                  <c:v>43132</c:v>
                </c:pt>
                <c:pt idx="5" formatCode="mm/yyyy;@">
                  <c:v>43160</c:v>
                </c:pt>
                <c:pt idx="6" formatCode="mm/yyyy;@">
                  <c:v>43191</c:v>
                </c:pt>
                <c:pt idx="7" formatCode="mm/yyyy;@">
                  <c:v>43221</c:v>
                </c:pt>
                <c:pt idx="8" formatCode="mm/yyyy;@">
                  <c:v>43252</c:v>
                </c:pt>
                <c:pt idx="9" formatCode="mm/yyyy;@">
                  <c:v>43282</c:v>
                </c:pt>
                <c:pt idx="10" formatCode="mm/yyyy;@">
                  <c:v>43313</c:v>
                </c:pt>
                <c:pt idx="11" formatCode="mm/yyyy;@">
                  <c:v>43344</c:v>
                </c:pt>
                <c:pt idx="12" formatCode="mm/yyyy;@">
                  <c:v>43374</c:v>
                </c:pt>
                <c:pt idx="13" formatCode="mm/yyyy;@">
                  <c:v>43405</c:v>
                </c:pt>
                <c:pt idx="14" formatCode="mm/yyyy;@">
                  <c:v>43435</c:v>
                </c:pt>
                <c:pt idx="15" formatCode="mm/yyyy;@">
                  <c:v>43466</c:v>
                </c:pt>
                <c:pt idx="16" formatCode="mm/yyyy;@">
                  <c:v>43497</c:v>
                </c:pt>
                <c:pt idx="17" formatCode="mm/yyyy;@">
                  <c:v>43525</c:v>
                </c:pt>
                <c:pt idx="18" formatCode="mm/yyyy;@">
                  <c:v>43556</c:v>
                </c:pt>
                <c:pt idx="19" formatCode="mm/yyyy;@">
                  <c:v>43586</c:v>
                </c:pt>
                <c:pt idx="20" formatCode="mm/yyyy;@">
                  <c:v>43617</c:v>
                </c:pt>
                <c:pt idx="21" formatCode="mm/yyyy;@">
                  <c:v>43647</c:v>
                </c:pt>
                <c:pt idx="22" formatCode="mm/yyyy;@">
                  <c:v>43678</c:v>
                </c:pt>
                <c:pt idx="23" formatCode="mm/yyyy;@">
                  <c:v>43709</c:v>
                </c:pt>
                <c:pt idx="24" formatCode="mm/yyyy;@">
                  <c:v>43739</c:v>
                </c:pt>
                <c:pt idx="25" formatCode="mm/yyyy;@">
                  <c:v>43770</c:v>
                </c:pt>
                <c:pt idx="26" formatCode="mm/yyyy;@">
                  <c:v>43800</c:v>
                </c:pt>
                <c:pt idx="27" formatCode="mm/yyyy;@">
                  <c:v>43831</c:v>
                </c:pt>
                <c:pt idx="28" formatCode="mm/yyyy;@">
                  <c:v>43862</c:v>
                </c:pt>
                <c:pt idx="29" formatCode="mm/yyyy;@">
                  <c:v>43891</c:v>
                </c:pt>
                <c:pt idx="30" formatCode="mm/yyyy;@">
                  <c:v>43922</c:v>
                </c:pt>
                <c:pt idx="31" formatCode="mm/yyyy;@">
                  <c:v>43952</c:v>
                </c:pt>
                <c:pt idx="32" formatCode="mm/yyyy;@">
                  <c:v>43983</c:v>
                </c:pt>
                <c:pt idx="33" formatCode="mm/yyyy;@">
                  <c:v>44013</c:v>
                </c:pt>
                <c:pt idx="34" formatCode="mm/yyyy;@">
                  <c:v>44044</c:v>
                </c:pt>
                <c:pt idx="35" formatCode="mm/yyyy;@">
                  <c:v>44075</c:v>
                </c:pt>
                <c:pt idx="36" formatCode="mm/yyyy;@">
                  <c:v>44105</c:v>
                </c:pt>
                <c:pt idx="37" formatCode="mm/yyyy;@">
                  <c:v>44136</c:v>
                </c:pt>
                <c:pt idx="38" formatCode="mm/yyyy;@">
                  <c:v>44166</c:v>
                </c:pt>
              </c:numCache>
            </c:numRef>
          </c:cat>
          <c:val>
            <c:numRef>
              <c:f>'Прогноз КБП'!$B$2:$B$40</c:f>
              <c:numCache>
                <c:formatCode>General</c:formatCode>
                <c:ptCount val="39"/>
                <c:pt idx="3" formatCode="#,##0">
                  <c:v>11596</c:v>
                </c:pt>
                <c:pt idx="4" formatCode="#,##0">
                  <c:v>12072</c:v>
                </c:pt>
                <c:pt idx="5" formatCode="#,##0">
                  <c:v>12701</c:v>
                </c:pt>
                <c:pt idx="6" formatCode="#,##0">
                  <c:v>16702</c:v>
                </c:pt>
                <c:pt idx="7" formatCode="#,##0">
                  <c:v>23196</c:v>
                </c:pt>
                <c:pt idx="8" formatCode="#,##0">
                  <c:v>26211</c:v>
                </c:pt>
                <c:pt idx="9" formatCode="#,##0">
                  <c:v>22710</c:v>
                </c:pt>
                <c:pt idx="10" formatCode="#,##0">
                  <c:v>32877</c:v>
                </c:pt>
                <c:pt idx="11" formatCode="#,##0">
                  <c:v>44552</c:v>
                </c:pt>
                <c:pt idx="12" formatCode="#,##0">
                  <c:v>18539</c:v>
                </c:pt>
                <c:pt idx="13" formatCode="#,##0">
                  <c:v>14905</c:v>
                </c:pt>
                <c:pt idx="14" formatCode="#,##0">
                  <c:v>13772</c:v>
                </c:pt>
                <c:pt idx="15" formatCode="#,##0">
                  <c:v>12728</c:v>
                </c:pt>
                <c:pt idx="16" formatCode="#,##0">
                  <c:v>12197</c:v>
                </c:pt>
                <c:pt idx="17" formatCode="#,##0">
                  <c:v>13570</c:v>
                </c:pt>
                <c:pt idx="18" formatCode="#,##0">
                  <c:v>15054</c:v>
                </c:pt>
                <c:pt idx="19" formatCode="#,##0">
                  <c:v>20851</c:v>
                </c:pt>
                <c:pt idx="20" formatCode="#,##0">
                  <c:v>19458</c:v>
                </c:pt>
                <c:pt idx="21" formatCode="#,##0">
                  <c:v>21837</c:v>
                </c:pt>
                <c:pt idx="22" formatCode="#,##0">
                  <c:v>23472</c:v>
                </c:pt>
                <c:pt idx="23" formatCode="#,##0">
                  <c:v>25080</c:v>
                </c:pt>
                <c:pt idx="24" formatCode="#,##0">
                  <c:v>15498</c:v>
                </c:pt>
                <c:pt idx="25" formatCode="#,##0">
                  <c:v>13307</c:v>
                </c:pt>
                <c:pt idx="26" formatCode="#,##0">
                  <c:v>13071</c:v>
                </c:pt>
                <c:pt idx="27" formatCode="#,##0">
                  <c:v>13613</c:v>
                </c:pt>
                <c:pt idx="28" formatCode="#,##0">
                  <c:v>12724</c:v>
                </c:pt>
                <c:pt idx="29" formatCode="#,##0">
                  <c:v>12451</c:v>
                </c:pt>
                <c:pt idx="30" formatCode="#,##0">
                  <c:v>19866</c:v>
                </c:pt>
                <c:pt idx="31" formatCode="#,##0">
                  <c:v>14678</c:v>
                </c:pt>
                <c:pt idx="32" formatCode="#,##0">
                  <c:v>20529</c:v>
                </c:pt>
                <c:pt idx="33" formatCode="#,##0">
                  <c:v>26843</c:v>
                </c:pt>
                <c:pt idx="34" formatCode="#,##0">
                  <c:v>23050</c:v>
                </c:pt>
                <c:pt idx="35" formatCode="#,##0">
                  <c:v>25000</c:v>
                </c:pt>
                <c:pt idx="36" formatCode="#,##0">
                  <c:v>15000</c:v>
                </c:pt>
                <c:pt idx="37" formatCode="#,##0">
                  <c:v>14000</c:v>
                </c:pt>
                <c:pt idx="38" formatCode="#,##0">
                  <c:v>13000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0AB-44F2-B7E7-880CF0CF6F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33584528"/>
        <c:axId val="433583696"/>
      </c:lineChart>
      <c:catAx>
        <c:axId val="4335845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>
                    <a:solidFill>
                      <a:sysClr val="windowText" lastClr="000000"/>
                    </a:solidFill>
                  </a:rPr>
                  <a:t>Період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m/d/yyyy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3583696"/>
        <c:crosses val="autoZero"/>
        <c:auto val="0"/>
        <c:lblAlgn val="ctr"/>
        <c:lblOffset val="100"/>
        <c:noMultiLvlLbl val="0"/>
      </c:catAx>
      <c:valAx>
        <c:axId val="433583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>
                    <a:solidFill>
                      <a:sysClr val="windowText" lastClr="000000"/>
                    </a:solidFill>
                  </a:rPr>
                  <a:t>Обсяг споживання, м3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358452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ysClr val="windowText" lastClr="000000"/>
                </a:solidFill>
              </a:rPr>
              <a:t>Обсяг споживання</a:t>
            </a:r>
            <a:r>
              <a:rPr lang="ru-RU" baseline="0">
                <a:solidFill>
                  <a:sysClr val="windowText" lastClr="000000"/>
                </a:solidFill>
              </a:rPr>
              <a:t> води бюджетними організаціями міста</a:t>
            </a:r>
            <a:endParaRPr lang="ru-RU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'Прогноз КББ'!$B$1</c:f>
              <c:strCache>
                <c:ptCount val="1"/>
                <c:pt idx="0">
                  <c:v>Обсяг споживання, м3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'Прогноз КББ'!$A$2:$A$40</c:f>
              <c:numCache>
                <c:formatCode>General</c:formatCode>
                <c:ptCount val="39"/>
                <c:pt idx="3" formatCode="mm/yyyy">
                  <c:v>43101</c:v>
                </c:pt>
                <c:pt idx="4" formatCode="mm/yyyy">
                  <c:v>43132</c:v>
                </c:pt>
                <c:pt idx="5" formatCode="mm/yyyy">
                  <c:v>43160</c:v>
                </c:pt>
                <c:pt idx="6" formatCode="mm/yyyy">
                  <c:v>43191</c:v>
                </c:pt>
                <c:pt idx="7" formatCode="mm/yyyy">
                  <c:v>43221</c:v>
                </c:pt>
                <c:pt idx="8" formatCode="mm/yyyy">
                  <c:v>43252</c:v>
                </c:pt>
                <c:pt idx="9" formatCode="mm/yyyy">
                  <c:v>43282</c:v>
                </c:pt>
                <c:pt idx="10" formatCode="mm/yyyy">
                  <c:v>43313</c:v>
                </c:pt>
                <c:pt idx="11" formatCode="mm/yyyy">
                  <c:v>43344</c:v>
                </c:pt>
                <c:pt idx="12" formatCode="mm/yyyy">
                  <c:v>43374</c:v>
                </c:pt>
                <c:pt idx="13" formatCode="mm/yyyy">
                  <c:v>43405</c:v>
                </c:pt>
                <c:pt idx="14" formatCode="mm/yyyy">
                  <c:v>43435</c:v>
                </c:pt>
                <c:pt idx="15" formatCode="mm/yyyy">
                  <c:v>43466</c:v>
                </c:pt>
                <c:pt idx="16" formatCode="mm/yyyy">
                  <c:v>43497</c:v>
                </c:pt>
                <c:pt idx="17" formatCode="mm/yyyy">
                  <c:v>43525</c:v>
                </c:pt>
                <c:pt idx="18" formatCode="mm/yyyy">
                  <c:v>43556</c:v>
                </c:pt>
                <c:pt idx="19" formatCode="mm/yyyy">
                  <c:v>43586</c:v>
                </c:pt>
                <c:pt idx="20" formatCode="mm/yyyy">
                  <c:v>43617</c:v>
                </c:pt>
                <c:pt idx="21" formatCode="mm/yyyy">
                  <c:v>43647</c:v>
                </c:pt>
                <c:pt idx="22" formatCode="mm/yyyy">
                  <c:v>43678</c:v>
                </c:pt>
                <c:pt idx="23" formatCode="mm/yyyy">
                  <c:v>43709</c:v>
                </c:pt>
                <c:pt idx="24" formatCode="mm/yyyy">
                  <c:v>43739</c:v>
                </c:pt>
                <c:pt idx="25" formatCode="mm/yyyy">
                  <c:v>43770</c:v>
                </c:pt>
                <c:pt idx="26" formatCode="mm/yyyy">
                  <c:v>43800</c:v>
                </c:pt>
                <c:pt idx="27" formatCode="mm/yyyy">
                  <c:v>43831</c:v>
                </c:pt>
                <c:pt idx="28" formatCode="mm/yyyy">
                  <c:v>43862</c:v>
                </c:pt>
                <c:pt idx="29" formatCode="mm/yyyy">
                  <c:v>43891</c:v>
                </c:pt>
                <c:pt idx="30" formatCode="mm/yyyy">
                  <c:v>43922</c:v>
                </c:pt>
                <c:pt idx="31" formatCode="mm/yyyy">
                  <c:v>43952</c:v>
                </c:pt>
                <c:pt idx="32" formatCode="mm/yyyy">
                  <c:v>43983</c:v>
                </c:pt>
                <c:pt idx="33" formatCode="mm/yyyy">
                  <c:v>44013</c:v>
                </c:pt>
                <c:pt idx="34" formatCode="mm/yyyy">
                  <c:v>44044</c:v>
                </c:pt>
                <c:pt idx="35" formatCode="mm/yyyy">
                  <c:v>44075</c:v>
                </c:pt>
                <c:pt idx="36" formatCode="mm/yyyy">
                  <c:v>44105</c:v>
                </c:pt>
                <c:pt idx="37" formatCode="mm/yyyy">
                  <c:v>44136</c:v>
                </c:pt>
                <c:pt idx="38" formatCode="mm/yyyy">
                  <c:v>44166</c:v>
                </c:pt>
              </c:numCache>
            </c:numRef>
          </c:cat>
          <c:val>
            <c:numRef>
              <c:f>'Прогноз КББ'!$B$2:$B$40</c:f>
              <c:numCache>
                <c:formatCode>General</c:formatCode>
                <c:ptCount val="39"/>
                <c:pt idx="3" formatCode="#,##0">
                  <c:v>7205</c:v>
                </c:pt>
                <c:pt idx="4" formatCode="#,##0">
                  <c:v>8685</c:v>
                </c:pt>
                <c:pt idx="5" formatCode="#,##0">
                  <c:v>7227</c:v>
                </c:pt>
                <c:pt idx="6" formatCode="#,##0">
                  <c:v>8423</c:v>
                </c:pt>
                <c:pt idx="7" formatCode="#,##0">
                  <c:v>9039</c:v>
                </c:pt>
                <c:pt idx="8" formatCode="#,##0">
                  <c:v>9406</c:v>
                </c:pt>
                <c:pt idx="9" formatCode="#,##0">
                  <c:v>9881</c:v>
                </c:pt>
                <c:pt idx="10" formatCode="#,##0">
                  <c:v>9215</c:v>
                </c:pt>
                <c:pt idx="11" formatCode="#,##0">
                  <c:v>9785</c:v>
                </c:pt>
                <c:pt idx="12" formatCode="#,##0">
                  <c:v>8948</c:v>
                </c:pt>
                <c:pt idx="13" formatCode="#,##0">
                  <c:v>8973</c:v>
                </c:pt>
                <c:pt idx="14" formatCode="#,##0">
                  <c:v>7568</c:v>
                </c:pt>
                <c:pt idx="15" formatCode="#,##0">
                  <c:v>8246</c:v>
                </c:pt>
                <c:pt idx="16" formatCode="#,##0">
                  <c:v>7047</c:v>
                </c:pt>
                <c:pt idx="17" formatCode="#,##0">
                  <c:v>6764</c:v>
                </c:pt>
                <c:pt idx="18" formatCode="#,##0">
                  <c:v>8826</c:v>
                </c:pt>
                <c:pt idx="19" formatCode="#,##0">
                  <c:v>7310</c:v>
                </c:pt>
                <c:pt idx="20" formatCode="#,##0">
                  <c:v>8612</c:v>
                </c:pt>
                <c:pt idx="21" formatCode="#,##0">
                  <c:v>8585</c:v>
                </c:pt>
                <c:pt idx="22" formatCode="#,##0">
                  <c:v>8683</c:v>
                </c:pt>
                <c:pt idx="23" formatCode="#,##0">
                  <c:v>9402</c:v>
                </c:pt>
                <c:pt idx="24" formatCode="#,##0">
                  <c:v>8043</c:v>
                </c:pt>
                <c:pt idx="25" formatCode="#,##0">
                  <c:v>7537</c:v>
                </c:pt>
                <c:pt idx="26" formatCode="#,##0">
                  <c:v>9082</c:v>
                </c:pt>
                <c:pt idx="27" formatCode="#,##0">
                  <c:v>6651</c:v>
                </c:pt>
                <c:pt idx="28" formatCode="#,##0">
                  <c:v>7204</c:v>
                </c:pt>
                <c:pt idx="29" formatCode="#,##0">
                  <c:v>6267</c:v>
                </c:pt>
                <c:pt idx="30" formatCode="#,##0">
                  <c:v>6156</c:v>
                </c:pt>
                <c:pt idx="31" formatCode="#,##0">
                  <c:v>6061</c:v>
                </c:pt>
                <c:pt idx="32" formatCode="#,##0">
                  <c:v>7395</c:v>
                </c:pt>
                <c:pt idx="33" formatCode="#,##0">
                  <c:v>9048</c:v>
                </c:pt>
                <c:pt idx="34" formatCode="#,##0">
                  <c:v>8670</c:v>
                </c:pt>
                <c:pt idx="35" formatCode="#,##0">
                  <c:v>9000</c:v>
                </c:pt>
                <c:pt idx="36" formatCode="#,##0">
                  <c:v>7500</c:v>
                </c:pt>
                <c:pt idx="37" formatCode="#,##0">
                  <c:v>7000</c:v>
                </c:pt>
                <c:pt idx="38" formatCode="#,##0">
                  <c:v>7500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1EB-4B26-9A3D-99A735A0C2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>
          <c:spPr>
            <a:ln w="9525" cap="flat" cmpd="sng" algn="ctr">
              <a:solidFill>
                <a:schemeClr val="tx1">
                  <a:lumMod val="35000"/>
                  <a:lumOff val="65000"/>
                </a:schemeClr>
              </a:solidFill>
              <a:round/>
            </a:ln>
            <a:effectLst/>
          </c:spPr>
        </c:dropLines>
        <c:marker val="1"/>
        <c:smooth val="0"/>
        <c:axId val="435117120"/>
        <c:axId val="435116704"/>
      </c:lineChart>
      <c:dateAx>
        <c:axId val="43511712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>
                    <a:solidFill>
                      <a:sysClr val="windowText" lastClr="000000"/>
                    </a:solidFill>
                  </a:rPr>
                  <a:t>Період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mm\.yyyy;@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5116704"/>
        <c:crosses val="autoZero"/>
        <c:auto val="1"/>
        <c:lblOffset val="100"/>
        <c:baseTimeUnit val="months"/>
      </c:dateAx>
      <c:valAx>
        <c:axId val="435116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>
                    <a:solidFill>
                      <a:sysClr val="windowText" lastClr="000000"/>
                    </a:solidFill>
                  </a:rPr>
                  <a:t>Обсяги, м3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51171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>
                <a:solidFill>
                  <a:sysClr val="windowText" lastClr="000000"/>
                </a:solidFill>
              </a:rPr>
              <a:t>Реалізація</a:t>
            </a:r>
            <a:r>
              <a:rPr lang="ru-RU" sz="1200" baseline="0">
                <a:solidFill>
                  <a:sysClr val="windowText" lastClr="000000"/>
                </a:solidFill>
              </a:rPr>
              <a:t> води на промислови потреби підприємств м. Каховка</a:t>
            </a:r>
            <a:endParaRPr lang="ru-RU" sz="1200">
              <a:solidFill>
                <a:sysClr val="windowText" lastClr="000000"/>
              </a:solidFill>
            </a:endParaRPr>
          </a:p>
        </c:rich>
      </c:tx>
      <c:layout>
        <c:manualLayout>
          <c:xMode val="edge"/>
          <c:yMode val="edge"/>
          <c:x val="0.15141675838907231"/>
          <c:y val="3.568879371877230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4661561962012812"/>
          <c:y val="0.13204853675945752"/>
          <c:w val="0.82874280331894001"/>
          <c:h val="0.54929240643634747"/>
        </c:manualLayout>
      </c:layout>
      <c:lineChart>
        <c:grouping val="standard"/>
        <c:varyColors val="0"/>
        <c:ser>
          <c:idx val="0"/>
          <c:order val="0"/>
          <c:tx>
            <c:strRef>
              <c:f>Лист3!$B$2</c:f>
              <c:strCache>
                <c:ptCount val="1"/>
                <c:pt idx="0">
                  <c:v>Обсяг води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Лист3!$A$3:$A$46</c:f>
              <c:numCache>
                <c:formatCode>[$-419]mmmm\ yyyy;@</c:formatCode>
                <c:ptCount val="44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  <c:pt idx="19">
                  <c:v>43313</c:v>
                </c:pt>
                <c:pt idx="20">
                  <c:v>43344</c:v>
                </c:pt>
                <c:pt idx="21">
                  <c:v>43374</c:v>
                </c:pt>
                <c:pt idx="22">
                  <c:v>43405</c:v>
                </c:pt>
                <c:pt idx="23">
                  <c:v>43435</c:v>
                </c:pt>
                <c:pt idx="24">
                  <c:v>43466</c:v>
                </c:pt>
                <c:pt idx="25">
                  <c:v>43497</c:v>
                </c:pt>
                <c:pt idx="26">
                  <c:v>43525</c:v>
                </c:pt>
                <c:pt idx="27">
                  <c:v>43556</c:v>
                </c:pt>
                <c:pt idx="28">
                  <c:v>43586</c:v>
                </c:pt>
                <c:pt idx="29">
                  <c:v>43617</c:v>
                </c:pt>
                <c:pt idx="30">
                  <c:v>43647</c:v>
                </c:pt>
                <c:pt idx="31">
                  <c:v>43678</c:v>
                </c:pt>
                <c:pt idx="32">
                  <c:v>43709</c:v>
                </c:pt>
                <c:pt idx="33">
                  <c:v>43739</c:v>
                </c:pt>
                <c:pt idx="34">
                  <c:v>43770</c:v>
                </c:pt>
                <c:pt idx="35">
                  <c:v>43800</c:v>
                </c:pt>
                <c:pt idx="36">
                  <c:v>43831</c:v>
                </c:pt>
                <c:pt idx="37">
                  <c:v>43862</c:v>
                </c:pt>
                <c:pt idx="38">
                  <c:v>43891</c:v>
                </c:pt>
                <c:pt idx="39">
                  <c:v>43922</c:v>
                </c:pt>
                <c:pt idx="40">
                  <c:v>43952</c:v>
                </c:pt>
                <c:pt idx="41">
                  <c:v>43983</c:v>
                </c:pt>
                <c:pt idx="42">
                  <c:v>44013</c:v>
                </c:pt>
                <c:pt idx="43">
                  <c:v>44044</c:v>
                </c:pt>
              </c:numCache>
            </c:numRef>
          </c:cat>
          <c:val>
            <c:numRef>
              <c:f>Лист3!$B$3:$B$46</c:f>
              <c:numCache>
                <c:formatCode>#,##0</c:formatCode>
                <c:ptCount val="44"/>
                <c:pt idx="0">
                  <c:v>30678</c:v>
                </c:pt>
                <c:pt idx="1">
                  <c:v>28153</c:v>
                </c:pt>
                <c:pt idx="2">
                  <c:v>30469</c:v>
                </c:pt>
                <c:pt idx="3">
                  <c:v>30299</c:v>
                </c:pt>
                <c:pt idx="4">
                  <c:v>34171</c:v>
                </c:pt>
                <c:pt idx="5">
                  <c:v>30402</c:v>
                </c:pt>
                <c:pt idx="6">
                  <c:v>19658</c:v>
                </c:pt>
                <c:pt idx="7">
                  <c:v>19950</c:v>
                </c:pt>
                <c:pt idx="8">
                  <c:v>31936</c:v>
                </c:pt>
                <c:pt idx="9">
                  <c:v>29364</c:v>
                </c:pt>
                <c:pt idx="10">
                  <c:v>27019</c:v>
                </c:pt>
                <c:pt idx="11">
                  <c:v>32194</c:v>
                </c:pt>
                <c:pt idx="12">
                  <c:v>30701</c:v>
                </c:pt>
                <c:pt idx="13">
                  <c:v>26773</c:v>
                </c:pt>
                <c:pt idx="14">
                  <c:v>29162</c:v>
                </c:pt>
                <c:pt idx="15">
                  <c:v>33745</c:v>
                </c:pt>
                <c:pt idx="16">
                  <c:v>29950</c:v>
                </c:pt>
                <c:pt idx="17">
                  <c:v>29753</c:v>
                </c:pt>
                <c:pt idx="18">
                  <c:v>15322</c:v>
                </c:pt>
                <c:pt idx="19">
                  <c:v>51580</c:v>
                </c:pt>
                <c:pt idx="20">
                  <c:v>110200</c:v>
                </c:pt>
                <c:pt idx="21">
                  <c:v>35406</c:v>
                </c:pt>
                <c:pt idx="22">
                  <c:v>27525</c:v>
                </c:pt>
                <c:pt idx="23">
                  <c:v>26454</c:v>
                </c:pt>
                <c:pt idx="24">
                  <c:v>28458</c:v>
                </c:pt>
                <c:pt idx="25">
                  <c:v>24989</c:v>
                </c:pt>
                <c:pt idx="26">
                  <c:v>25594</c:v>
                </c:pt>
                <c:pt idx="27">
                  <c:v>26340</c:v>
                </c:pt>
                <c:pt idx="28">
                  <c:v>26974</c:v>
                </c:pt>
                <c:pt idx="29">
                  <c:v>23645</c:v>
                </c:pt>
                <c:pt idx="30">
                  <c:v>18233</c:v>
                </c:pt>
                <c:pt idx="31">
                  <c:v>31529</c:v>
                </c:pt>
                <c:pt idx="32">
                  <c:v>41310</c:v>
                </c:pt>
                <c:pt idx="33">
                  <c:v>26444</c:v>
                </c:pt>
                <c:pt idx="34">
                  <c:v>25870</c:v>
                </c:pt>
                <c:pt idx="35">
                  <c:v>23393</c:v>
                </c:pt>
                <c:pt idx="36">
                  <c:v>27563</c:v>
                </c:pt>
                <c:pt idx="37">
                  <c:v>22419</c:v>
                </c:pt>
                <c:pt idx="38">
                  <c:v>27024</c:v>
                </c:pt>
                <c:pt idx="39">
                  <c:v>25717</c:v>
                </c:pt>
                <c:pt idx="40">
                  <c:v>23833</c:v>
                </c:pt>
                <c:pt idx="41">
                  <c:v>26545</c:v>
                </c:pt>
                <c:pt idx="42">
                  <c:v>22950</c:v>
                </c:pt>
                <c:pt idx="43">
                  <c:v>12896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379-4703-9DCB-85E8910857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>
          <c:spPr>
            <a:ln w="9525" cap="flat" cmpd="sng" algn="ctr">
              <a:solidFill>
                <a:schemeClr val="tx1">
                  <a:lumMod val="35000"/>
                  <a:lumOff val="65000"/>
                </a:schemeClr>
              </a:solidFill>
              <a:round/>
            </a:ln>
            <a:effectLst/>
          </c:spPr>
        </c:dropLines>
        <c:smooth val="0"/>
        <c:axId val="581021984"/>
        <c:axId val="583639728"/>
      </c:lineChart>
      <c:dateAx>
        <c:axId val="58102198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Період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[$-419]mmmm\ yyyy;@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3639728"/>
        <c:crosses val="autoZero"/>
        <c:auto val="1"/>
        <c:lblOffset val="100"/>
        <c:baseTimeUnit val="months"/>
      </c:dateAx>
      <c:valAx>
        <c:axId val="583639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Обсяг</a:t>
                </a:r>
                <a:r>
                  <a:rPr lang="ru-RU" baseline="0"/>
                  <a:t> реалізації, м3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#,##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10219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[2018.xlsx]Лист1!$A$21:$A$32</cx:f>
        <cx:lvl ptCount="12">
          <cx:pt idx="0">КПТМ  " Каховтеплокомуненерго"</cx:pt>
          <cx:pt idx="1">ЗП ТП  "ЗАГОТПРОМТОРГ "</cx:pt>
          <cx:pt idx="2">ПрАТ "КЗЕСО"</cx:pt>
          <cx:pt idx="3">ПрАТ "Чумак"</cx:pt>
          <cx:pt idx="4">ТОВ "АТ Каргілл"</cx:pt>
          <cx:pt idx="5">ТОВ "ВВВВ"</cx:pt>
          <cx:pt idx="6">ТОВ "ГЕЛІОС-1"</cx:pt>
          <cx:pt idx="7">ТОВ "Грін Тім"</cx:pt>
          <cx:pt idx="8">ТОВ "ОПЕНТЕК"</cx:pt>
          <cx:pt idx="9">ТОВ "Тройка"</cx:pt>
          <cx:pt idx="10">Харчокомбінат  Каховського  РайСТ</cx:pt>
          <cx:pt idx="11">Інші</cx:pt>
        </cx:lvl>
      </cx:strDim>
      <cx:numDim type="size">
        <cx:f>[2018.xlsx]Лист1!$B$21:$B$32</cx:f>
        <cx:lvl ptCount="12" formatCode="0,00%">
          <cx:pt idx="0">0.012940273624599751</cx:pt>
          <cx:pt idx="1">0.0055254174495223476</cx:pt>
          <cx:pt idx="2">0.088380216465108893</cx:pt>
          <cx:pt idx="3">0.030029902881790999</cx:pt>
          <cx:pt idx="4">0.64709836195718329</cx:pt>
          <cx:pt idx="5">0.1538648813146683</cx:pt>
          <cx:pt idx="6">0.0023234274524332479</cx:pt>
          <cx:pt idx="7">0.018185186165286193</cx:pt>
          <cx:pt idx="8">0.0082457858106856491</cx:pt>
          <cx:pt idx="9">0.029151340337135144</cx:pt>
          <cx:pt idx="10">0.0031437719971420253</cx:pt>
          <cx:pt idx="11">0.0011114345444441505</cx:pt>
        </cx:lvl>
      </cx:numDim>
    </cx:data>
  </cx:chartData>
  <cx:chart>
    <cx:title pos="t" align="ctr" overlay="0">
      <cx:tx>
        <cx:rich>
          <a:bodyPr spcFirstLastPara="1" vertOverflow="ellipsis" wrap="square" lIns="0" tIns="0" rIns="0" bIns="0" anchor="ctr" anchorCtr="1"/>
          <a:lstStyle/>
          <a:p>
            <a:pPr algn="ctr">
              <a:defRPr lang="ru-RU" sz="12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libri" panose="020F0502020204030204"/>
              </a:defRPr>
            </a:pPr>
            <a:r>
              <a:rPr lang="ru-RU" sz="1200" b="1"/>
              <a:t>Структура споживання води на промислові потреби підприємств у 2020 році</a:t>
            </a:r>
          </a:p>
        </cx:rich>
      </cx:tx>
    </cx:title>
    <cx:plotArea>
      <cx:plotAreaRegion>
        <cx:series layoutId="sunburst" uniqueId="{E77F0308-C584-4BF4-9433-22795D330E82}">
          <cx:dataLabels pos="ctr">
            <cx:txPr>
              <a:bodyPr spcFirstLastPara="1" vertOverflow="ellipsis" wrap="square" lIns="0" tIns="0" rIns="0" bIns="0" anchor="ctr" anchorCtr="1">
                <a:spAutoFit/>
              </a:bodyPr>
              <a:lstStyle/>
              <a:p>
                <a:pPr>
                  <a:defRPr sz="700" b="1"/>
                </a:pPr>
                <a:endParaRPr lang="ru-RU" sz="700" b="1"/>
              </a:p>
            </cx:txPr>
            <cx:visibility seriesName="0" categoryName="1" value="1"/>
          </cx:dataLabels>
          <cx:dataId val="0"/>
        </cx:series>
      </cx:plotAreaRegion>
    </cx:plotArea>
  </cx:chart>
  <cx:clrMapOvr bg1="lt1" tx1="dk1" bg2="lt2" tx2="dk2" accent1="accent1" accent2="accent2" accent3="accent3" accent4="accent4" accent5="accent5" accent6="accent6" hlink="hlink" folHlink="folHlink"/>
</cx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Реалізація</a:t>
            </a:r>
            <a:r>
              <a:rPr lang="ru-RU" baseline="0"/>
              <a:t> обсягів стічних вод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Канал!$A$136:$A$203</c:f>
              <c:numCache>
                <c:formatCode>mm\.yyyy;@</c:formatCode>
                <c:ptCount val="68"/>
                <c:pt idx="0">
                  <c:v>42005</c:v>
                </c:pt>
                <c:pt idx="1">
                  <c:v>42036</c:v>
                </c:pt>
                <c:pt idx="2">
                  <c:v>42064</c:v>
                </c:pt>
                <c:pt idx="3">
                  <c:v>42095</c:v>
                </c:pt>
                <c:pt idx="4">
                  <c:v>42125</c:v>
                </c:pt>
                <c:pt idx="5">
                  <c:v>42156</c:v>
                </c:pt>
                <c:pt idx="6">
                  <c:v>42186</c:v>
                </c:pt>
                <c:pt idx="7">
                  <c:v>42217</c:v>
                </c:pt>
                <c:pt idx="8">
                  <c:v>42248</c:v>
                </c:pt>
                <c:pt idx="9">
                  <c:v>42278</c:v>
                </c:pt>
                <c:pt idx="10">
                  <c:v>42309</c:v>
                </c:pt>
                <c:pt idx="11">
                  <c:v>42339</c:v>
                </c:pt>
                <c:pt idx="12">
                  <c:v>42370</c:v>
                </c:pt>
                <c:pt idx="13">
                  <c:v>42401</c:v>
                </c:pt>
                <c:pt idx="14">
                  <c:v>42430</c:v>
                </c:pt>
                <c:pt idx="15">
                  <c:v>42461</c:v>
                </c:pt>
                <c:pt idx="16">
                  <c:v>42491</c:v>
                </c:pt>
                <c:pt idx="17">
                  <c:v>42522</c:v>
                </c:pt>
                <c:pt idx="18">
                  <c:v>42552</c:v>
                </c:pt>
                <c:pt idx="19">
                  <c:v>42583</c:v>
                </c:pt>
                <c:pt idx="20">
                  <c:v>42614</c:v>
                </c:pt>
                <c:pt idx="21">
                  <c:v>42644</c:v>
                </c:pt>
                <c:pt idx="22">
                  <c:v>42675</c:v>
                </c:pt>
                <c:pt idx="23">
                  <c:v>42705</c:v>
                </c:pt>
                <c:pt idx="24">
                  <c:v>42736</c:v>
                </c:pt>
                <c:pt idx="25">
                  <c:v>42767</c:v>
                </c:pt>
                <c:pt idx="26">
                  <c:v>42795</c:v>
                </c:pt>
                <c:pt idx="27">
                  <c:v>42826</c:v>
                </c:pt>
                <c:pt idx="28">
                  <c:v>42856</c:v>
                </c:pt>
                <c:pt idx="29">
                  <c:v>42887</c:v>
                </c:pt>
                <c:pt idx="30">
                  <c:v>42917</c:v>
                </c:pt>
                <c:pt idx="31">
                  <c:v>42948</c:v>
                </c:pt>
                <c:pt idx="32">
                  <c:v>42979</c:v>
                </c:pt>
                <c:pt idx="33">
                  <c:v>43009</c:v>
                </c:pt>
                <c:pt idx="34">
                  <c:v>43040</c:v>
                </c:pt>
                <c:pt idx="35">
                  <c:v>43070</c:v>
                </c:pt>
                <c:pt idx="36">
                  <c:v>43101</c:v>
                </c:pt>
                <c:pt idx="37">
                  <c:v>43132</c:v>
                </c:pt>
                <c:pt idx="38">
                  <c:v>43160</c:v>
                </c:pt>
                <c:pt idx="39">
                  <c:v>43191</c:v>
                </c:pt>
                <c:pt idx="40">
                  <c:v>43221</c:v>
                </c:pt>
                <c:pt idx="41">
                  <c:v>43252</c:v>
                </c:pt>
                <c:pt idx="42">
                  <c:v>43282</c:v>
                </c:pt>
                <c:pt idx="43">
                  <c:v>43313</c:v>
                </c:pt>
                <c:pt idx="44">
                  <c:v>43344</c:v>
                </c:pt>
                <c:pt idx="45">
                  <c:v>43374</c:v>
                </c:pt>
                <c:pt idx="46">
                  <c:v>43405</c:v>
                </c:pt>
                <c:pt idx="47">
                  <c:v>43435</c:v>
                </c:pt>
                <c:pt idx="48">
                  <c:v>43466</c:v>
                </c:pt>
                <c:pt idx="49">
                  <c:v>43497</c:v>
                </c:pt>
                <c:pt idx="50">
                  <c:v>43525</c:v>
                </c:pt>
                <c:pt idx="51">
                  <c:v>43556</c:v>
                </c:pt>
                <c:pt idx="52">
                  <c:v>43586</c:v>
                </c:pt>
                <c:pt idx="53">
                  <c:v>43617</c:v>
                </c:pt>
                <c:pt idx="54">
                  <c:v>43647</c:v>
                </c:pt>
                <c:pt idx="55">
                  <c:v>43678</c:v>
                </c:pt>
                <c:pt idx="56">
                  <c:v>43709</c:v>
                </c:pt>
                <c:pt idx="57">
                  <c:v>43739</c:v>
                </c:pt>
                <c:pt idx="58">
                  <c:v>43770</c:v>
                </c:pt>
                <c:pt idx="59">
                  <c:v>43800</c:v>
                </c:pt>
                <c:pt idx="60">
                  <c:v>43831</c:v>
                </c:pt>
                <c:pt idx="61">
                  <c:v>43862</c:v>
                </c:pt>
                <c:pt idx="62">
                  <c:v>43891</c:v>
                </c:pt>
                <c:pt idx="63">
                  <c:v>43922</c:v>
                </c:pt>
                <c:pt idx="64">
                  <c:v>43952</c:v>
                </c:pt>
                <c:pt idx="65">
                  <c:v>43983</c:v>
                </c:pt>
                <c:pt idx="66">
                  <c:v>44013</c:v>
                </c:pt>
                <c:pt idx="67">
                  <c:v>44044</c:v>
                </c:pt>
              </c:numCache>
            </c:numRef>
          </c:cat>
          <c:val>
            <c:numRef>
              <c:f>Канал!$B$136:$B$203</c:f>
              <c:numCache>
                <c:formatCode>#,##0</c:formatCode>
                <c:ptCount val="68"/>
                <c:pt idx="0">
                  <c:v>167214</c:v>
                </c:pt>
                <c:pt idx="1">
                  <c:v>150238</c:v>
                </c:pt>
                <c:pt idx="2">
                  <c:v>162142</c:v>
                </c:pt>
                <c:pt idx="3">
                  <c:v>167144</c:v>
                </c:pt>
                <c:pt idx="4">
                  <c:v>150800</c:v>
                </c:pt>
                <c:pt idx="5">
                  <c:v>168755</c:v>
                </c:pt>
                <c:pt idx="6">
                  <c:v>165527</c:v>
                </c:pt>
                <c:pt idx="7">
                  <c:v>145235</c:v>
                </c:pt>
                <c:pt idx="8">
                  <c:v>299867</c:v>
                </c:pt>
                <c:pt idx="9">
                  <c:v>204501</c:v>
                </c:pt>
                <c:pt idx="10">
                  <c:v>159765</c:v>
                </c:pt>
                <c:pt idx="11">
                  <c:v>143468</c:v>
                </c:pt>
                <c:pt idx="12">
                  <c:v>151768</c:v>
                </c:pt>
                <c:pt idx="13">
                  <c:v>148106</c:v>
                </c:pt>
                <c:pt idx="14">
                  <c:v>149492</c:v>
                </c:pt>
                <c:pt idx="15">
                  <c:v>152037</c:v>
                </c:pt>
                <c:pt idx="16">
                  <c:v>151975</c:v>
                </c:pt>
                <c:pt idx="17">
                  <c:v>154661</c:v>
                </c:pt>
                <c:pt idx="18">
                  <c:v>149383</c:v>
                </c:pt>
                <c:pt idx="19">
                  <c:v>161738</c:v>
                </c:pt>
                <c:pt idx="20">
                  <c:v>223676</c:v>
                </c:pt>
                <c:pt idx="21">
                  <c:v>203397</c:v>
                </c:pt>
                <c:pt idx="22">
                  <c:v>148493</c:v>
                </c:pt>
                <c:pt idx="23">
                  <c:v>162771</c:v>
                </c:pt>
                <c:pt idx="24">
                  <c:v>141882</c:v>
                </c:pt>
                <c:pt idx="25">
                  <c:v>136763</c:v>
                </c:pt>
                <c:pt idx="26">
                  <c:v>137276</c:v>
                </c:pt>
                <c:pt idx="27">
                  <c:v>148190</c:v>
                </c:pt>
                <c:pt idx="28">
                  <c:v>162160</c:v>
                </c:pt>
                <c:pt idx="29">
                  <c:v>153598</c:v>
                </c:pt>
                <c:pt idx="30">
                  <c:v>149818</c:v>
                </c:pt>
                <c:pt idx="31">
                  <c:v>193637</c:v>
                </c:pt>
                <c:pt idx="32">
                  <c:v>257793</c:v>
                </c:pt>
                <c:pt idx="33">
                  <c:v>163858</c:v>
                </c:pt>
                <c:pt idx="34">
                  <c:v>161765</c:v>
                </c:pt>
                <c:pt idx="35">
                  <c:v>164620</c:v>
                </c:pt>
                <c:pt idx="36">
                  <c:v>154669</c:v>
                </c:pt>
                <c:pt idx="37">
                  <c:v>160817</c:v>
                </c:pt>
                <c:pt idx="38">
                  <c:v>172771</c:v>
                </c:pt>
                <c:pt idx="39">
                  <c:v>161368</c:v>
                </c:pt>
                <c:pt idx="40">
                  <c:v>157142</c:v>
                </c:pt>
                <c:pt idx="41">
                  <c:v>154821</c:v>
                </c:pt>
                <c:pt idx="42">
                  <c:v>159954</c:v>
                </c:pt>
                <c:pt idx="43">
                  <c:v>205962</c:v>
                </c:pt>
                <c:pt idx="44">
                  <c:v>285700</c:v>
                </c:pt>
                <c:pt idx="45">
                  <c:v>168166</c:v>
                </c:pt>
                <c:pt idx="46">
                  <c:v>153080</c:v>
                </c:pt>
                <c:pt idx="47">
                  <c:v>160185</c:v>
                </c:pt>
                <c:pt idx="48">
                  <c:v>164504</c:v>
                </c:pt>
                <c:pt idx="49">
                  <c:v>161513</c:v>
                </c:pt>
                <c:pt idx="50">
                  <c:v>156067</c:v>
                </c:pt>
                <c:pt idx="51">
                  <c:v>169547</c:v>
                </c:pt>
                <c:pt idx="52">
                  <c:v>168356</c:v>
                </c:pt>
                <c:pt idx="53">
                  <c:v>163000</c:v>
                </c:pt>
                <c:pt idx="54">
                  <c:v>156972</c:v>
                </c:pt>
                <c:pt idx="55">
                  <c:v>209516</c:v>
                </c:pt>
                <c:pt idx="56">
                  <c:v>259786</c:v>
                </c:pt>
                <c:pt idx="57">
                  <c:v>169200</c:v>
                </c:pt>
                <c:pt idx="58">
                  <c:v>149167</c:v>
                </c:pt>
                <c:pt idx="59">
                  <c:v>160409</c:v>
                </c:pt>
                <c:pt idx="60">
                  <c:v>159358</c:v>
                </c:pt>
                <c:pt idx="61">
                  <c:v>154719</c:v>
                </c:pt>
                <c:pt idx="62">
                  <c:v>165315</c:v>
                </c:pt>
                <c:pt idx="63">
                  <c:v>166705</c:v>
                </c:pt>
                <c:pt idx="64">
                  <c:v>153158</c:v>
                </c:pt>
                <c:pt idx="65">
                  <c:v>161812</c:v>
                </c:pt>
                <c:pt idx="66">
                  <c:v>161020</c:v>
                </c:pt>
                <c:pt idx="67">
                  <c:v>164500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82D-4641-AF24-58D2E808A1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>
          <c:spPr>
            <a:ln w="9525" cap="flat" cmpd="sng" algn="ctr">
              <a:solidFill>
                <a:schemeClr val="tx1">
                  <a:lumMod val="35000"/>
                  <a:lumOff val="65000"/>
                </a:schemeClr>
              </a:solidFill>
              <a:round/>
            </a:ln>
            <a:effectLst/>
          </c:spPr>
        </c:dropLines>
        <c:upDownBars>
          <c:gapWidth val="150"/>
          <c:upBars>
            <c:spPr>
              <a:solidFill>
                <a:schemeClr val="lt1"/>
              </a:solidFill>
              <a:ln w="9525">
                <a:solidFill>
                  <a:schemeClr val="tx1">
                    <a:lumMod val="15000"/>
                    <a:lumOff val="85000"/>
                  </a:schemeClr>
                </a:solidFill>
              </a:ln>
              <a:effectLst/>
            </c:spPr>
          </c:upBars>
          <c:downBars>
            <c:spPr>
              <a:solidFill>
                <a:schemeClr val="dk1">
                  <a:lumMod val="65000"/>
                  <a:lumOff val="35000"/>
                </a:schemeClr>
              </a:solidFill>
              <a:ln w="9525">
                <a:solidFill>
                  <a:schemeClr val="tx1">
                    <a:lumMod val="65000"/>
                    <a:lumOff val="35000"/>
                  </a:schemeClr>
                </a:solidFill>
              </a:ln>
              <a:effectLst/>
            </c:spPr>
          </c:downBars>
        </c:upDownBars>
        <c:smooth val="0"/>
        <c:axId val="445891264"/>
        <c:axId val="445890016"/>
      </c:lineChart>
      <c:dateAx>
        <c:axId val="44589126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Період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mm\.yyyy;@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5890016"/>
        <c:crosses val="autoZero"/>
        <c:auto val="1"/>
        <c:lblOffset val="100"/>
        <c:baseTimeUnit val="months"/>
      </c:dateAx>
      <c:valAx>
        <c:axId val="44589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>
                    <a:solidFill>
                      <a:sysClr val="windowText" lastClr="000000"/>
                    </a:solidFill>
                  </a:rPr>
                  <a:t>Обсяг, стчіних вод м3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5891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Лист3!$C$2</c:f>
              <c:strCache>
                <c:ptCount val="1"/>
                <c:pt idx="0">
                  <c:v>Обсяг промислових стоків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Лист3!$B$3:$B$70</c:f>
              <c:numCache>
                <c:formatCode>mm\.yyyy;@</c:formatCode>
                <c:ptCount val="68"/>
                <c:pt idx="0">
                  <c:v>42005</c:v>
                </c:pt>
                <c:pt idx="1">
                  <c:v>42036</c:v>
                </c:pt>
                <c:pt idx="2">
                  <c:v>42064</c:v>
                </c:pt>
                <c:pt idx="3">
                  <c:v>42095</c:v>
                </c:pt>
                <c:pt idx="4">
                  <c:v>42125</c:v>
                </c:pt>
                <c:pt idx="5">
                  <c:v>42156</c:v>
                </c:pt>
                <c:pt idx="6">
                  <c:v>42186</c:v>
                </c:pt>
                <c:pt idx="7">
                  <c:v>42217</c:v>
                </c:pt>
                <c:pt idx="8">
                  <c:v>42248</c:v>
                </c:pt>
                <c:pt idx="9">
                  <c:v>42278</c:v>
                </c:pt>
                <c:pt idx="10">
                  <c:v>42309</c:v>
                </c:pt>
                <c:pt idx="11">
                  <c:v>42339</c:v>
                </c:pt>
                <c:pt idx="12">
                  <c:v>42370</c:v>
                </c:pt>
                <c:pt idx="13">
                  <c:v>42401</c:v>
                </c:pt>
                <c:pt idx="14">
                  <c:v>42430</c:v>
                </c:pt>
                <c:pt idx="15">
                  <c:v>42461</c:v>
                </c:pt>
                <c:pt idx="16">
                  <c:v>42491</c:v>
                </c:pt>
                <c:pt idx="17">
                  <c:v>42522</c:v>
                </c:pt>
                <c:pt idx="18">
                  <c:v>42552</c:v>
                </c:pt>
                <c:pt idx="19">
                  <c:v>42583</c:v>
                </c:pt>
                <c:pt idx="20">
                  <c:v>42614</c:v>
                </c:pt>
                <c:pt idx="21">
                  <c:v>42644</c:v>
                </c:pt>
                <c:pt idx="22">
                  <c:v>42675</c:v>
                </c:pt>
                <c:pt idx="23">
                  <c:v>42705</c:v>
                </c:pt>
                <c:pt idx="24">
                  <c:v>42736</c:v>
                </c:pt>
                <c:pt idx="25">
                  <c:v>42767</c:v>
                </c:pt>
                <c:pt idx="26">
                  <c:v>42795</c:v>
                </c:pt>
                <c:pt idx="27">
                  <c:v>42826</c:v>
                </c:pt>
                <c:pt idx="28">
                  <c:v>42856</c:v>
                </c:pt>
                <c:pt idx="29">
                  <c:v>42887</c:v>
                </c:pt>
                <c:pt idx="30">
                  <c:v>42917</c:v>
                </c:pt>
                <c:pt idx="31">
                  <c:v>42948</c:v>
                </c:pt>
                <c:pt idx="32">
                  <c:v>42979</c:v>
                </c:pt>
                <c:pt idx="33">
                  <c:v>43009</c:v>
                </c:pt>
                <c:pt idx="34">
                  <c:v>43040</c:v>
                </c:pt>
                <c:pt idx="35">
                  <c:v>43070</c:v>
                </c:pt>
                <c:pt idx="36">
                  <c:v>43101</c:v>
                </c:pt>
                <c:pt idx="37">
                  <c:v>43132</c:v>
                </c:pt>
                <c:pt idx="38">
                  <c:v>43160</c:v>
                </c:pt>
                <c:pt idx="39">
                  <c:v>43191</c:v>
                </c:pt>
                <c:pt idx="40">
                  <c:v>43221</c:v>
                </c:pt>
                <c:pt idx="41">
                  <c:v>43252</c:v>
                </c:pt>
                <c:pt idx="42">
                  <c:v>43282</c:v>
                </c:pt>
                <c:pt idx="43">
                  <c:v>43313</c:v>
                </c:pt>
                <c:pt idx="44">
                  <c:v>43344</c:v>
                </c:pt>
                <c:pt idx="45">
                  <c:v>43374</c:v>
                </c:pt>
                <c:pt idx="46">
                  <c:v>43405</c:v>
                </c:pt>
                <c:pt idx="47">
                  <c:v>43435</c:v>
                </c:pt>
                <c:pt idx="48">
                  <c:v>43466</c:v>
                </c:pt>
                <c:pt idx="49">
                  <c:v>43497</c:v>
                </c:pt>
                <c:pt idx="50">
                  <c:v>43525</c:v>
                </c:pt>
                <c:pt idx="51">
                  <c:v>43556</c:v>
                </c:pt>
                <c:pt idx="52">
                  <c:v>43586</c:v>
                </c:pt>
                <c:pt idx="53">
                  <c:v>43617</c:v>
                </c:pt>
                <c:pt idx="54">
                  <c:v>43647</c:v>
                </c:pt>
                <c:pt idx="55">
                  <c:v>43678</c:v>
                </c:pt>
                <c:pt idx="56">
                  <c:v>43709</c:v>
                </c:pt>
                <c:pt idx="57">
                  <c:v>43739</c:v>
                </c:pt>
                <c:pt idx="58">
                  <c:v>43770</c:v>
                </c:pt>
                <c:pt idx="59">
                  <c:v>43800</c:v>
                </c:pt>
                <c:pt idx="60">
                  <c:v>43831</c:v>
                </c:pt>
                <c:pt idx="61">
                  <c:v>43862</c:v>
                </c:pt>
                <c:pt idx="62">
                  <c:v>43891</c:v>
                </c:pt>
                <c:pt idx="63">
                  <c:v>43922</c:v>
                </c:pt>
                <c:pt idx="64">
                  <c:v>43952</c:v>
                </c:pt>
                <c:pt idx="65">
                  <c:v>43983</c:v>
                </c:pt>
                <c:pt idx="66">
                  <c:v>44013</c:v>
                </c:pt>
                <c:pt idx="67">
                  <c:v>44044</c:v>
                </c:pt>
              </c:numCache>
            </c:numRef>
          </c:cat>
          <c:val>
            <c:numRef>
              <c:f>Лист3!$C$3:$C$70</c:f>
              <c:numCache>
                <c:formatCode>#,##0</c:formatCode>
                <c:ptCount val="68"/>
                <c:pt idx="0">
                  <c:v>44034</c:v>
                </c:pt>
                <c:pt idx="1">
                  <c:v>41225</c:v>
                </c:pt>
                <c:pt idx="2">
                  <c:v>34151</c:v>
                </c:pt>
                <c:pt idx="3">
                  <c:v>36513</c:v>
                </c:pt>
                <c:pt idx="4">
                  <c:v>33473</c:v>
                </c:pt>
                <c:pt idx="5">
                  <c:v>36308</c:v>
                </c:pt>
                <c:pt idx="6">
                  <c:v>36067</c:v>
                </c:pt>
                <c:pt idx="7">
                  <c:v>42351</c:v>
                </c:pt>
                <c:pt idx="8">
                  <c:v>87247</c:v>
                </c:pt>
                <c:pt idx="9">
                  <c:v>88823</c:v>
                </c:pt>
                <c:pt idx="10">
                  <c:v>45298</c:v>
                </c:pt>
                <c:pt idx="11">
                  <c:v>45618</c:v>
                </c:pt>
                <c:pt idx="12">
                  <c:v>55357</c:v>
                </c:pt>
                <c:pt idx="13">
                  <c:v>43762</c:v>
                </c:pt>
                <c:pt idx="14">
                  <c:v>49683</c:v>
                </c:pt>
                <c:pt idx="15">
                  <c:v>45653</c:v>
                </c:pt>
                <c:pt idx="16">
                  <c:v>55580</c:v>
                </c:pt>
                <c:pt idx="17">
                  <c:v>50677</c:v>
                </c:pt>
                <c:pt idx="18">
                  <c:v>53257</c:v>
                </c:pt>
                <c:pt idx="19">
                  <c:v>77915</c:v>
                </c:pt>
                <c:pt idx="20">
                  <c:v>117843</c:v>
                </c:pt>
                <c:pt idx="21">
                  <c:v>93011</c:v>
                </c:pt>
                <c:pt idx="22">
                  <c:v>50073</c:v>
                </c:pt>
                <c:pt idx="23">
                  <c:v>45281</c:v>
                </c:pt>
                <c:pt idx="24">
                  <c:v>46094</c:v>
                </c:pt>
                <c:pt idx="25">
                  <c:v>48921</c:v>
                </c:pt>
                <c:pt idx="26">
                  <c:v>50759</c:v>
                </c:pt>
                <c:pt idx="27">
                  <c:v>52872</c:v>
                </c:pt>
                <c:pt idx="28">
                  <c:v>69758</c:v>
                </c:pt>
                <c:pt idx="29">
                  <c:v>59090</c:v>
                </c:pt>
                <c:pt idx="30">
                  <c:v>58156</c:v>
                </c:pt>
                <c:pt idx="31">
                  <c:v>91163</c:v>
                </c:pt>
                <c:pt idx="32">
                  <c:v>147087</c:v>
                </c:pt>
                <c:pt idx="33">
                  <c:v>66549</c:v>
                </c:pt>
                <c:pt idx="34">
                  <c:v>53830</c:v>
                </c:pt>
                <c:pt idx="35">
                  <c:v>46540</c:v>
                </c:pt>
                <c:pt idx="36">
                  <c:v>44784</c:v>
                </c:pt>
                <c:pt idx="37">
                  <c:v>57261</c:v>
                </c:pt>
                <c:pt idx="38">
                  <c:v>60635</c:v>
                </c:pt>
                <c:pt idx="39">
                  <c:v>63186</c:v>
                </c:pt>
                <c:pt idx="40">
                  <c:v>68646</c:v>
                </c:pt>
                <c:pt idx="41">
                  <c:v>66518</c:v>
                </c:pt>
                <c:pt idx="42">
                  <c:v>61459</c:v>
                </c:pt>
                <c:pt idx="43">
                  <c:v>91474</c:v>
                </c:pt>
                <c:pt idx="44">
                  <c:v>133850</c:v>
                </c:pt>
                <c:pt idx="45">
                  <c:v>75341</c:v>
                </c:pt>
                <c:pt idx="46">
                  <c:v>64960</c:v>
                </c:pt>
                <c:pt idx="47">
                  <c:v>59481</c:v>
                </c:pt>
                <c:pt idx="48">
                  <c:v>58492</c:v>
                </c:pt>
                <c:pt idx="49">
                  <c:v>59741</c:v>
                </c:pt>
                <c:pt idx="50">
                  <c:v>64221</c:v>
                </c:pt>
                <c:pt idx="51">
                  <c:v>68616</c:v>
                </c:pt>
                <c:pt idx="52">
                  <c:v>65238</c:v>
                </c:pt>
                <c:pt idx="53">
                  <c:v>69075</c:v>
                </c:pt>
                <c:pt idx="54">
                  <c:v>63496</c:v>
                </c:pt>
                <c:pt idx="55">
                  <c:v>96303</c:v>
                </c:pt>
                <c:pt idx="56">
                  <c:v>143196</c:v>
                </c:pt>
                <c:pt idx="57">
                  <c:v>73946</c:v>
                </c:pt>
                <c:pt idx="58">
                  <c:v>61174</c:v>
                </c:pt>
                <c:pt idx="59">
                  <c:v>59683</c:v>
                </c:pt>
                <c:pt idx="60">
                  <c:v>51052</c:v>
                </c:pt>
                <c:pt idx="61">
                  <c:v>56846</c:v>
                </c:pt>
                <c:pt idx="62">
                  <c:v>64460</c:v>
                </c:pt>
                <c:pt idx="63">
                  <c:v>63205</c:v>
                </c:pt>
                <c:pt idx="64">
                  <c:v>60410</c:v>
                </c:pt>
                <c:pt idx="65">
                  <c:v>62063</c:v>
                </c:pt>
                <c:pt idx="66">
                  <c:v>61711</c:v>
                </c:pt>
                <c:pt idx="67">
                  <c:v>94210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F33-4A5E-A004-EA8188BCE1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>
          <c:spPr>
            <a:ln w="9525" cap="flat" cmpd="sng" algn="ctr">
              <a:solidFill>
                <a:schemeClr val="tx1">
                  <a:lumMod val="35000"/>
                  <a:lumOff val="65000"/>
                </a:schemeClr>
              </a:solidFill>
              <a:round/>
            </a:ln>
            <a:effectLst/>
          </c:spPr>
        </c:dropLines>
        <c:smooth val="0"/>
        <c:axId val="476940720"/>
        <c:axId val="476941968"/>
      </c:lineChart>
      <c:dateAx>
        <c:axId val="47694072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b="1">
                    <a:solidFill>
                      <a:sysClr val="windowText" lastClr="000000"/>
                    </a:solidFill>
                  </a:rPr>
                  <a:t>Період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mm\.yyyy;@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6941968"/>
        <c:crosses val="autoZero"/>
        <c:auto val="1"/>
        <c:lblOffset val="100"/>
        <c:baseTimeUnit val="months"/>
      </c:dateAx>
      <c:valAx>
        <c:axId val="476941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b="1">
                    <a:solidFill>
                      <a:sysClr val="windowText" lastClr="000000"/>
                    </a:solidFill>
                  </a:rPr>
                  <a:t>Обсяг</a:t>
                </a:r>
                <a:r>
                  <a:rPr lang="ru-RU" b="1" baseline="0">
                    <a:solidFill>
                      <a:sysClr val="windowText" lastClr="000000"/>
                    </a:solidFill>
                  </a:rPr>
                  <a:t> водовідведення, м3</a:t>
                </a:r>
                <a:endParaRPr lang="ru-RU" b="1">
                  <a:solidFill>
                    <a:sysClr val="windowText" lastClr="000000"/>
                  </a:solidFill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69407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289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8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850" kern="1200"/>
    <cs:bodyPr wrap="square" lIns="38100" tIns="19050" rIns="38100" bIns="19050" anchor="ctr">
      <a:spAutoFit/>
    </cs:bodyPr>
  </cs:dataLabel>
  <cs:dataLabelCallout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defRPr sz="900"/>
  </cs:dataTable>
  <cs:downBar>
    <cs:lnRef idx="0"/>
    <cs:fillRef idx="0"/>
    <cs:effectRef idx="0"/>
    <cs:fontRef idx="minor">
      <a:schemeClr val="tx1"/>
    </cs:fontRef>
    <cs:spPr>
      <a:solidFill>
        <a:schemeClr val="dk1"/>
      </a:solidFill>
    </cs:spPr>
  </cs:downBar>
  <cs:dropLine>
    <cs:lnRef idx="0"/>
    <cs:fillRef idx="0"/>
    <cs:effectRef idx="0"/>
    <cs:fontRef idx="minor">
      <a:schemeClr val="tx1"/>
    </cs:fontRef>
  </cs:dropLine>
  <cs:errorBar>
    <cs:lnRef idx="0"/>
    <cs:fillRef idx="0"/>
    <cs:effectRef idx="0"/>
    <cs:fontRef idx="minor">
      <a:schemeClr val="tx1"/>
    </cs:fontRef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  <a:lumOff val="10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</cs:hiLoLine>
  <cs:leaderLine>
    <cs:lnRef idx="0"/>
    <cs:fillRef idx="0"/>
    <cs:effectRef idx="0"/>
    <cs:fontRef idx="minor">
      <a:schemeClr val="tx1"/>
    </cs:fontRef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  <cs:bodyPr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7C6"/>
    <w:rsid w:val="00B6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77C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95EE5-9776-4B41-A743-9264C4DE3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12</Pages>
  <Words>2358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10</cp:revision>
  <cp:lastPrinted>2020-09-10T10:12:00Z</cp:lastPrinted>
  <dcterms:created xsi:type="dcterms:W3CDTF">2020-09-09T15:24:00Z</dcterms:created>
  <dcterms:modified xsi:type="dcterms:W3CDTF">2020-09-10T10:12:00Z</dcterms:modified>
</cp:coreProperties>
</file>