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6"/>
        <w:tblW w:w="9923" w:type="dxa"/>
        <w:jc w:val="left"/>
        <w:tblInd w:w="0" w:type="dxa"/>
        <w:tblCellMar>
          <w:top w:w="0" w:type="dxa"/>
          <w:left w:w="118" w:type="dxa"/>
          <w:bottom w:w="0" w:type="dxa"/>
          <w:right w:w="108" w:type="dxa"/>
        </w:tblCellMar>
        <w:tblLook w:val="04a0" w:noVBand="1" w:noHBand="0" w:firstRow="1" w:lastRow="0" w:firstColumn="1" w:lastColumn="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1"/>
              <w:tabs>
                <w:tab w:val="left" w:pos="7065" w:leader="none"/>
              </w:tabs>
              <w:spacing w:before="177" w:after="0"/>
              <w:ind w:left="0" w:hanging="0"/>
              <w:jc w:val="center"/>
              <w:rPr>
                <w:lang w:val="uk-UA"/>
              </w:rPr>
            </w:pPr>
            <w:bookmarkStart w:id="0" w:name="_GoBack"/>
            <w:bookmarkStart w:id="1" w:name="_GoBack"/>
            <w:bookmarkEnd w:id="1"/>
            <w:r>
              <w:rPr>
                <w:lang w:val="uk-UA"/>
              </w:rPr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1"/>
              <w:tabs>
                <w:tab w:val="left" w:pos="7065" w:leader="none"/>
              </w:tabs>
              <w:ind w:left="2124" w:hanging="0"/>
              <w:rPr>
                <w:bCs w:val="false"/>
                <w:lang w:val="uk-UA"/>
              </w:rPr>
            </w:pPr>
            <w:r>
              <w:rPr>
                <w:bCs w:val="false"/>
                <w:lang w:val="uk-UA"/>
              </w:rPr>
              <w:t>Додаток № 4</w:t>
            </w:r>
          </w:p>
          <w:p>
            <w:pPr>
              <w:pStyle w:val="1"/>
              <w:tabs>
                <w:tab w:val="left" w:pos="7065" w:leader="none"/>
              </w:tabs>
              <w:ind w:left="2124" w:hanging="0"/>
              <w:rPr>
                <w:b w:val="false"/>
                <w:b w:val="false"/>
                <w:bCs w:val="false"/>
                <w:lang w:val="uk-UA"/>
              </w:rPr>
            </w:pPr>
            <w:r>
              <w:rPr>
                <w:b w:val="false"/>
                <w:bCs w:val="false"/>
                <w:lang w:val="uk-UA"/>
              </w:rPr>
              <w:t xml:space="preserve">до Порядку </w:t>
            </w:r>
          </w:p>
          <w:p>
            <w:pPr>
              <w:pStyle w:val="1"/>
              <w:tabs>
                <w:tab w:val="left" w:pos="7065" w:leader="none"/>
              </w:tabs>
              <w:ind w:left="0" w:hanging="0"/>
              <w:rPr>
                <w:b w:val="false"/>
                <w:b w:val="false"/>
                <w:bCs w:val="false"/>
                <w:lang w:val="uk-UA"/>
              </w:rPr>
            </w:pPr>
            <w:r>
              <w:rPr>
                <w:b w:val="false"/>
                <w:bCs w:val="false"/>
                <w:lang w:val="uk-UA"/>
              </w:rPr>
            </w:r>
          </w:p>
        </w:tc>
      </w:tr>
    </w:tbl>
    <w:p>
      <w:pPr>
        <w:pStyle w:val="1"/>
        <w:tabs>
          <w:tab w:val="left" w:pos="7065" w:leader="none"/>
        </w:tabs>
        <w:spacing w:before="177" w:after="0"/>
        <w:ind w:left="0" w:hanging="0"/>
        <w:jc w:val="center"/>
        <w:rPr>
          <w:lang w:val="uk-UA"/>
        </w:rPr>
      </w:pPr>
      <w:r>
        <w:rPr>
          <w:lang w:val="uk-UA"/>
        </w:rPr>
      </w:r>
    </w:p>
    <w:p>
      <w:pPr>
        <w:pStyle w:val="1"/>
        <w:tabs>
          <w:tab w:val="left" w:pos="7065" w:leader="none"/>
        </w:tabs>
        <w:spacing w:before="177" w:after="0"/>
        <w:ind w:left="0" w:hanging="0"/>
        <w:jc w:val="center"/>
        <w:rPr>
          <w:b w:val="false"/>
          <w:b w:val="false"/>
          <w:u w:val="single"/>
          <w:lang w:val="uk-UA"/>
        </w:rPr>
      </w:pPr>
      <w:r>
        <w:rPr>
          <w:lang w:val="uk-UA"/>
        </w:rPr>
        <w:t>ТИПОВИЙ ДОГОВІР</w:t>
      </w:r>
      <w:r>
        <w:rPr>
          <w:spacing w:val="-36"/>
          <w:lang w:val="uk-UA"/>
        </w:rPr>
        <w:t xml:space="preserve"> </w:t>
      </w:r>
      <w:r>
        <w:rPr>
          <w:lang w:val="uk-UA"/>
        </w:rPr>
        <w:t>№</w:t>
      </w:r>
      <w:r>
        <w:rPr>
          <w:b w:val="false"/>
          <w:lang w:val="uk-UA"/>
        </w:rPr>
        <w:t>______</w:t>
      </w:r>
    </w:p>
    <w:p>
      <w:pPr>
        <w:pStyle w:val="Style18"/>
        <w:spacing w:before="4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  <w:lang w:val="uk-UA"/>
        </w:rPr>
        <w:t>про відшкодування з</w:t>
      </w:r>
      <w:r>
        <w:rPr>
          <w:b/>
          <w:color w:val="00000A"/>
          <w:sz w:val="28"/>
          <w:szCs w:val="28"/>
          <w:lang w:val="uk-UA"/>
        </w:rPr>
        <w:t xml:space="preserve"> міського</w:t>
      </w:r>
      <w:r>
        <w:rPr>
          <w:b/>
          <w:color w:val="C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бюджету відсотків за кредитом, залученим </w:t>
      </w:r>
      <w:r>
        <w:rPr>
          <w:b/>
          <w:sz w:val="28"/>
          <w:lang w:val="uk-UA"/>
        </w:rPr>
        <w:t xml:space="preserve">об’єднанням співвласників багатоквартирних будинків, яке бере участь у </w:t>
      </w:r>
      <w:r>
        <w:rPr>
          <w:b/>
          <w:bCs/>
          <w:sz w:val="28"/>
          <w:szCs w:val="28"/>
          <w:lang w:val="uk-UA"/>
        </w:rPr>
        <w:t xml:space="preserve">програмах </w:t>
      </w:r>
      <w:r>
        <w:rPr>
          <w:b/>
          <w:bCs/>
          <w:sz w:val="28"/>
          <w:szCs w:val="28"/>
          <w:lang w:val="uk-UA"/>
        </w:rPr>
        <w:t>державної установи «Фонд енергоефективності», зокрема у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lang w:val="uk-UA"/>
        </w:rPr>
        <w:t>Програмі підтримки енергомодернізації багатоквартирних будинків «ЕНЕРГОДІМ» державної установи «Фонд енергоефективності» на 2021-2023 роки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rPr/>
      </w:pPr>
      <w:r>
        <w:rPr>
          <w:b/>
          <w:sz w:val="28"/>
          <w:szCs w:val="28"/>
          <w:lang w:val="uk-UA"/>
        </w:rPr>
        <w:t xml:space="preserve">м.Каховка                                                         </w:t>
      </w:r>
      <w:r>
        <w:rPr>
          <w:bCs/>
          <w:sz w:val="28"/>
          <w:szCs w:val="28"/>
          <w:lang w:val="uk-UA"/>
        </w:rPr>
        <w:t>«____» ______________ 202__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р.</w: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i/>
          <w:iCs/>
          <w:spacing w:val="-3"/>
          <w:sz w:val="28"/>
          <w:szCs w:val="28"/>
          <w:lang w:val="uk-UA"/>
        </w:rPr>
        <w:t>_______(назва структурного підрозділу)_____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міської ради (надалі – </w:t>
      </w:r>
      <w:r>
        <w:rPr>
          <w:b/>
          <w:bCs/>
          <w:sz w:val="28"/>
          <w:szCs w:val="28"/>
          <w:lang w:val="uk-UA"/>
        </w:rPr>
        <w:t>Головний розпорядник</w:t>
      </w:r>
      <w:r>
        <w:rPr>
          <w:bCs/>
          <w:sz w:val="28"/>
          <w:szCs w:val="28"/>
          <w:lang w:val="uk-UA"/>
        </w:rPr>
        <w:t xml:space="preserve">) в особі ______________________________________, що діє на підставі Положення про управління, з однієї сторони, </w:t>
      </w:r>
    </w:p>
    <w:p>
      <w:pPr>
        <w:pStyle w:val="Normal"/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pacing w:val="3"/>
          <w:sz w:val="28"/>
          <w:szCs w:val="28"/>
          <w:lang w:val="uk-UA"/>
        </w:rPr>
        <w:t>та</w:t>
      </w:r>
      <w:r>
        <w:rPr>
          <w:bCs/>
          <w:spacing w:val="23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Об</w:t>
      </w:r>
      <w:r>
        <w:rPr>
          <w:bCs/>
          <w:sz w:val="28"/>
          <w:szCs w:val="28"/>
          <w:lang w:val="ru-RU"/>
        </w:rPr>
        <w:t>’</w:t>
      </w:r>
      <w:r>
        <w:rPr>
          <w:bCs/>
          <w:sz w:val="28"/>
          <w:szCs w:val="28"/>
          <w:lang w:val="uk-UA"/>
        </w:rPr>
        <w:t xml:space="preserve">єднання співвласників багатоквартирного будинку «________» (надалі – </w:t>
      </w:r>
      <w:r>
        <w:rPr>
          <w:b/>
          <w:bCs/>
          <w:sz w:val="28"/>
          <w:szCs w:val="28"/>
          <w:lang w:val="uk-UA"/>
        </w:rPr>
        <w:t>ОСББ</w:t>
      </w:r>
      <w:r>
        <w:rPr>
          <w:bCs/>
          <w:sz w:val="28"/>
          <w:szCs w:val="28"/>
          <w:lang w:val="uk-UA"/>
        </w:rPr>
        <w:t>), в</w:t>
      </w:r>
      <w:r>
        <w:rPr>
          <w:bCs/>
          <w:spacing w:val="54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особі голови правління __________________________, що </w:t>
      </w:r>
      <w:r>
        <w:rPr>
          <w:bCs/>
          <w:spacing w:val="15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діє на підставі Статуту, з іншої сторони, разом – Сторони, уклали цей Договір про наступне: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ListParagraph"/>
        <w:numPr>
          <w:ilvl w:val="0"/>
          <w:numId w:val="1"/>
        </w:numPr>
        <w:ind w:left="284" w:hanging="284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Предмет Договору</w:t>
      </w:r>
    </w:p>
    <w:p>
      <w:pPr>
        <w:pStyle w:val="ListParagraph"/>
        <w:numPr>
          <w:ilvl w:val="1"/>
          <w:numId w:val="2"/>
        </w:numPr>
        <w:tabs>
          <w:tab w:val="left" w:pos="0" w:leader="none"/>
          <w:tab w:val="left" w:pos="900" w:leader="none"/>
          <w:tab w:val="left" w:pos="4561" w:leader="none"/>
          <w:tab w:val="left" w:pos="5329" w:leader="none"/>
          <w:tab w:val="left" w:pos="5828" w:leader="none"/>
          <w:tab w:val="left" w:pos="6147" w:leader="none"/>
          <w:tab w:val="left" w:pos="6913" w:leader="none"/>
          <w:tab w:val="left" w:pos="8468" w:leader="none"/>
        </w:tabs>
        <w:spacing w:lineRule="exact" w:line="295"/>
        <w:ind w:left="0" w:firstLine="540"/>
        <w:jc w:val="both"/>
        <w:rPr/>
      </w:pPr>
      <w:r>
        <w:rPr>
          <w:sz w:val="28"/>
          <w:szCs w:val="28"/>
          <w:lang w:val="uk-UA"/>
        </w:rPr>
        <w:t xml:space="preserve">.На виконання </w:t>
      </w:r>
      <w:r>
        <w:rPr>
          <w:sz w:val="28"/>
          <w:lang w:val="uk-UA"/>
        </w:rPr>
        <w:t xml:space="preserve">Цільової програми «Тепла оселя» відшкодування з </w:t>
      </w:r>
      <w:r>
        <w:rPr>
          <w:i w:val="false"/>
          <w:iCs w:val="false"/>
          <w:color w:val="00000A"/>
          <w:sz w:val="28"/>
          <w:u w:val="none"/>
          <w:lang w:val="uk-UA"/>
        </w:rPr>
        <w:t xml:space="preserve">міського </w:t>
      </w:r>
      <w:r>
        <w:rPr>
          <w:sz w:val="28"/>
          <w:lang w:val="uk-UA"/>
        </w:rPr>
        <w:t xml:space="preserve"> бюджету процентів за кредитами, залученими об’єднаннями співвласників багатоквартирних будинків, які беруть участь у </w:t>
      </w:r>
      <w:r>
        <w:rPr>
          <w:sz w:val="28"/>
          <w:szCs w:val="28"/>
          <w:lang w:val="uk-UA"/>
        </w:rPr>
        <w:t xml:space="preserve">програмах державної установи «Фонд енергоефективності», зокрема у </w:t>
      </w:r>
      <w:r>
        <w:rPr>
          <w:sz w:val="28"/>
          <w:lang w:val="uk-UA"/>
        </w:rPr>
        <w:t>Програмі підтримки енергомодернізації багатоквартирних будинків «ЕНЕРГОДІМ» державної установи «Фонд енергоефективності», на 2021-2023 роки</w:t>
      </w:r>
      <w:r>
        <w:rPr>
          <w:sz w:val="28"/>
          <w:szCs w:val="28"/>
          <w:lang w:val="uk-UA"/>
        </w:rPr>
        <w:t xml:space="preserve"> (далі – Програма «Тепла оселя»), та Порядку </w:t>
      </w:r>
      <w:r>
        <w:rPr>
          <w:sz w:val="28"/>
          <w:lang w:val="uk-UA"/>
        </w:rPr>
        <w:t xml:space="preserve">відшкодування з міського бюджету процентів за кредитами, залученими об’єднаннями співвласників багатоквартирних будинків, які беруть участь у </w:t>
      </w:r>
      <w:r>
        <w:rPr>
          <w:sz w:val="28"/>
          <w:szCs w:val="28"/>
          <w:lang w:val="uk-UA"/>
        </w:rPr>
        <w:t xml:space="preserve">програмах державної установи «Фонд енергоефективності», зокрема у </w:t>
      </w:r>
      <w:r>
        <w:rPr>
          <w:sz w:val="28"/>
          <w:lang w:val="uk-UA"/>
        </w:rPr>
        <w:t>Програмі підтримки енергомодернізації багатоквартирних будинків «ЕНЕРГОДІМ» державної установи «Фонд енергоефективності», на 2021-2023 роки</w:t>
      </w:r>
      <w:r>
        <w:rPr>
          <w:sz w:val="28"/>
          <w:szCs w:val="28"/>
          <w:lang w:val="uk-UA"/>
        </w:rPr>
        <w:t xml:space="preserve"> (далі –</w:t>
      </w:r>
      <w:r>
        <w:rPr>
          <w:spacing w:val="8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Порядок), Головний розпорядник виплачує об’єднанню співвласників багатоквартирних будинків відшкодування фактично сплачених ним процентів (далі – </w:t>
      </w:r>
      <w:r>
        <w:rPr>
          <w:b/>
          <w:sz w:val="28"/>
          <w:szCs w:val="28"/>
          <w:lang w:val="uk-UA"/>
        </w:rPr>
        <w:t>Відшкодування</w:t>
      </w:r>
      <w:r>
        <w:rPr>
          <w:sz w:val="28"/>
          <w:szCs w:val="28"/>
          <w:lang w:val="uk-UA"/>
        </w:rPr>
        <w:t xml:space="preserve">) за кредитом, залученим у </w:t>
      </w:r>
      <w:r>
        <w:rPr>
          <w:i/>
          <w:iCs/>
          <w:sz w:val="28"/>
          <w:szCs w:val="28"/>
          <w:lang w:val="uk-UA"/>
        </w:rPr>
        <w:t>__________(назва банку)______</w:t>
      </w:r>
      <w:r>
        <w:rPr>
          <w:sz w:val="28"/>
          <w:szCs w:val="28"/>
          <w:lang w:val="uk-UA"/>
        </w:rPr>
        <w:t xml:space="preserve"> (далі - Банк) відповідно до кредитного договору  №_______________ від «__» ___________ ____р. на впровадження енергоефективних заходів у багатоквартирному будинку.    </w:t>
      </w:r>
    </w:p>
    <w:p>
      <w:pPr>
        <w:pStyle w:val="ListParagraph"/>
        <w:tabs>
          <w:tab w:val="left" w:pos="567" w:leader="none"/>
          <w:tab w:val="left" w:pos="1658" w:leader="none"/>
          <w:tab w:val="left" w:pos="3515" w:leader="none"/>
          <w:tab w:val="left" w:pos="4561" w:leader="none"/>
          <w:tab w:val="left" w:pos="5329" w:leader="none"/>
          <w:tab w:val="left" w:pos="5828" w:leader="none"/>
          <w:tab w:val="left" w:pos="6147" w:leader="none"/>
          <w:tab w:val="left" w:pos="6913" w:leader="none"/>
          <w:tab w:val="left" w:pos="8468" w:leader="none"/>
        </w:tabs>
        <w:spacing w:lineRule="exact" w:line="295"/>
        <w:ind w:left="0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>
      <w:pPr>
        <w:pStyle w:val="ListParagraph"/>
        <w:numPr>
          <w:ilvl w:val="0"/>
          <w:numId w:val="2"/>
        </w:numPr>
        <w:tabs>
          <w:tab w:val="left" w:pos="360" w:leader="none"/>
          <w:tab w:val="left" w:pos="3515" w:leader="none"/>
          <w:tab w:val="left" w:pos="4561" w:leader="none"/>
          <w:tab w:val="left" w:pos="5329" w:leader="none"/>
          <w:tab w:val="left" w:pos="5828" w:leader="none"/>
          <w:tab w:val="left" w:pos="6147" w:leader="none"/>
          <w:tab w:val="left" w:pos="6913" w:leader="none"/>
          <w:tab w:val="left" w:pos="8468" w:leader="none"/>
        </w:tabs>
        <w:spacing w:lineRule="exact" w:line="295" w:before="0" w:after="0"/>
        <w:ind w:left="284" w:hanging="284"/>
        <w:contextualSpacing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Розмір та умови отримання</w:t>
      </w:r>
      <w:r>
        <w:rPr>
          <w:b/>
          <w:spacing w:val="4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відшкодування</w:t>
      </w:r>
    </w:p>
    <w:p>
      <w:pPr>
        <w:pStyle w:val="ListParagraph"/>
        <w:tabs>
          <w:tab w:val="left" w:pos="360" w:leader="none"/>
          <w:tab w:val="left" w:pos="900" w:leader="none"/>
          <w:tab w:val="left" w:pos="5329" w:leader="none"/>
          <w:tab w:val="left" w:pos="5828" w:leader="none"/>
          <w:tab w:val="left" w:pos="6147" w:leader="none"/>
          <w:tab w:val="left" w:pos="6913" w:leader="none"/>
          <w:tab w:val="left" w:pos="8468" w:leader="none"/>
        </w:tabs>
        <w:spacing w:lineRule="exact" w:line="295" w:before="120" w:after="0"/>
        <w:ind w:left="0" w:hanging="0"/>
        <w:contextualSpacing/>
        <w:jc w:val="both"/>
        <w:rPr>
          <w:bCs/>
          <w:color w:val="FF00FF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>
        <w:rPr>
          <w:bCs/>
          <w:sz w:val="28"/>
          <w:szCs w:val="28"/>
          <w:lang w:val="uk-UA"/>
        </w:rPr>
        <w:t xml:space="preserve">2.1. За цим Договором ОСББ відшкодовується сума фактично сплачених ним згідно з кредитним договором процентів, але не більше, ніж за </w:t>
      </w:r>
      <w:r>
        <w:rPr>
          <w:bCs/>
          <w:color w:val="000000" w:themeColor="text1"/>
          <w:sz w:val="28"/>
          <w:szCs w:val="28"/>
          <w:lang w:val="uk-UA"/>
        </w:rPr>
        <w:t>12</w:t>
      </w:r>
      <w:r>
        <w:rPr>
          <w:bCs/>
          <w:color w:val="FF0000"/>
          <w:sz w:val="28"/>
          <w:szCs w:val="28"/>
          <w:lang w:val="uk-UA"/>
        </w:rPr>
        <w:t xml:space="preserve"> </w:t>
      </w:r>
      <w:r>
        <w:rPr>
          <w:bCs/>
          <w:color w:val="000000" w:themeColor="text1"/>
          <w:sz w:val="28"/>
          <w:szCs w:val="28"/>
          <w:lang w:val="uk-UA"/>
        </w:rPr>
        <w:t xml:space="preserve">(дванадцять) </w:t>
      </w:r>
      <w:r>
        <w:rPr>
          <w:bCs/>
          <w:sz w:val="28"/>
          <w:szCs w:val="28"/>
          <w:lang w:val="uk-UA"/>
        </w:rPr>
        <w:t xml:space="preserve">перших місяців користування кредитом. </w:t>
      </w:r>
    </w:p>
    <w:p>
      <w:pPr>
        <w:pStyle w:val="ListParagraph"/>
        <w:tabs>
          <w:tab w:val="left" w:pos="180" w:leader="none"/>
          <w:tab w:val="left" w:pos="4561" w:leader="none"/>
          <w:tab w:val="left" w:pos="5329" w:leader="none"/>
          <w:tab w:val="left" w:pos="5828" w:leader="none"/>
          <w:tab w:val="left" w:pos="6147" w:leader="none"/>
          <w:tab w:val="left" w:pos="6913" w:leader="none"/>
          <w:tab w:val="left" w:pos="8468" w:leader="none"/>
        </w:tabs>
        <w:spacing w:lineRule="exact" w:line="295" w:before="120" w:after="0"/>
        <w:ind w:left="-27" w:firstLine="567"/>
        <w:contextualSpacing/>
        <w:jc w:val="both"/>
        <w:rPr>
          <w:bCs/>
          <w:color w:val="FF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2.2. Гранична сума Відшкодування за цим Договором з дати першої виплати за кредитним договором </w:t>
      </w:r>
      <w:bookmarkStart w:id="2" w:name="_Hlk25149948"/>
      <w:r>
        <w:rPr>
          <w:bCs/>
          <w:sz w:val="28"/>
          <w:szCs w:val="28"/>
          <w:lang w:val="uk-UA"/>
        </w:rPr>
        <w:t xml:space="preserve">становить ____,__ </w:t>
      </w:r>
      <w:r>
        <w:rPr>
          <w:bCs/>
          <w:spacing w:val="-4"/>
          <w:sz w:val="28"/>
          <w:szCs w:val="28"/>
          <w:lang w:val="uk-UA"/>
        </w:rPr>
        <w:t>грн. (_______ грн. __ коп.), в тому числі</w:t>
      </w:r>
      <w:r>
        <w:rPr>
          <w:bCs/>
          <w:sz w:val="28"/>
          <w:szCs w:val="28"/>
          <w:lang w:val="uk-UA"/>
        </w:rPr>
        <w:t xml:space="preserve">: </w:t>
      </w:r>
    </w:p>
    <w:p>
      <w:pPr>
        <w:pStyle w:val="ListParagraph"/>
        <w:tabs>
          <w:tab w:val="left" w:pos="180" w:leader="none"/>
          <w:tab w:val="left" w:pos="4561" w:leader="none"/>
          <w:tab w:val="left" w:pos="5329" w:leader="none"/>
          <w:tab w:val="left" w:pos="5828" w:leader="none"/>
          <w:tab w:val="left" w:pos="6147" w:leader="none"/>
          <w:tab w:val="left" w:pos="6913" w:leader="none"/>
          <w:tab w:val="left" w:pos="8468" w:leader="none"/>
        </w:tabs>
        <w:spacing w:lineRule="exact" w:line="295" w:before="120" w:after="0"/>
        <w:ind w:left="-27" w:firstLine="567"/>
        <w:contextualSpacing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uk-UA"/>
        </w:rPr>
        <w:t xml:space="preserve">до кінця 202_ року –____,__ </w:t>
      </w:r>
      <w:r>
        <w:rPr>
          <w:bCs/>
          <w:spacing w:val="-4"/>
          <w:sz w:val="28"/>
          <w:szCs w:val="28"/>
          <w:lang w:val="uk-UA"/>
        </w:rPr>
        <w:t>грн. (_______ грн. __ коп.)</w:t>
      </w:r>
      <w:bookmarkEnd w:id="2"/>
      <w:r>
        <w:rPr>
          <w:bCs/>
          <w:spacing w:val="-4"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ru-RU"/>
        </w:rPr>
        <w:t xml:space="preserve"> </w:t>
      </w:r>
    </w:p>
    <w:p>
      <w:pPr>
        <w:pStyle w:val="ListParagraph"/>
        <w:tabs>
          <w:tab w:val="left" w:pos="180" w:leader="none"/>
          <w:tab w:val="left" w:pos="4561" w:leader="none"/>
          <w:tab w:val="left" w:pos="5329" w:leader="none"/>
          <w:tab w:val="left" w:pos="5828" w:leader="none"/>
          <w:tab w:val="left" w:pos="6147" w:leader="none"/>
          <w:tab w:val="left" w:pos="6913" w:leader="none"/>
          <w:tab w:val="left" w:pos="8468" w:leader="none"/>
        </w:tabs>
        <w:spacing w:lineRule="exact" w:line="295" w:before="120" w:after="0"/>
        <w:ind w:left="-27" w:firstLine="567"/>
        <w:contextualSpacing/>
        <w:jc w:val="both"/>
        <w:rPr>
          <w:bCs/>
          <w:spacing w:val="-4"/>
          <w:sz w:val="28"/>
          <w:szCs w:val="28"/>
          <w:lang w:val="uk-UA"/>
        </w:rPr>
      </w:pPr>
      <w:r>
        <w:rPr>
          <w:bCs/>
          <w:spacing w:val="-4"/>
          <w:sz w:val="28"/>
          <w:szCs w:val="28"/>
          <w:lang w:val="uk-UA"/>
        </w:rPr>
        <w:t xml:space="preserve">до кінця 202_  року – ____,__ грн. (_______ грн. __ коп.), </w:t>
      </w:r>
    </w:p>
    <w:p>
      <w:pPr>
        <w:pStyle w:val="ListParagraph"/>
        <w:tabs>
          <w:tab w:val="left" w:pos="1658" w:leader="none"/>
          <w:tab w:val="left" w:pos="3515" w:leader="none"/>
          <w:tab w:val="left" w:pos="4561" w:leader="none"/>
          <w:tab w:val="left" w:pos="5329" w:leader="none"/>
          <w:tab w:val="left" w:pos="5828" w:leader="none"/>
          <w:tab w:val="left" w:pos="6147" w:leader="none"/>
          <w:tab w:val="left" w:pos="6913" w:leader="none"/>
          <w:tab w:val="left" w:pos="8468" w:leader="none"/>
        </w:tabs>
        <w:spacing w:lineRule="exact" w:line="295" w:before="120" w:after="0"/>
        <w:ind w:left="0" w:firstLine="540"/>
        <w:contextualSpacing/>
        <w:jc w:val="both"/>
        <w:rPr/>
      </w:pPr>
      <w:r>
        <w:rPr>
          <w:bCs/>
          <w:sz w:val="28"/>
          <w:szCs w:val="28"/>
          <w:lang w:val="uk-UA"/>
        </w:rPr>
        <w:t xml:space="preserve">2.3. Відшкодування надається на підставі отриманого від Банку зведеного реєстру </w:t>
      </w:r>
      <w:r>
        <w:rPr>
          <w:sz w:val="28"/>
          <w:szCs w:val="28"/>
          <w:lang w:val="ru-RU" w:eastAsia="ar-SA"/>
        </w:rPr>
        <w:t>Позичальників,</w:t>
      </w:r>
      <w:r>
        <w:rPr>
          <w:b/>
          <w:bCs/>
          <w:lang w:val="ru-RU"/>
        </w:rPr>
        <w:t xml:space="preserve"> </w:t>
      </w:r>
      <w:r>
        <w:rPr>
          <w:sz w:val="28"/>
          <w:szCs w:val="28"/>
          <w:lang w:val="ru-RU"/>
        </w:rPr>
        <w:t>які отримали кредит у</w:t>
      </w:r>
      <w:r>
        <w:rPr>
          <w:i/>
          <w:iCs/>
          <w:sz w:val="28"/>
          <w:szCs w:val="28"/>
          <w:lang w:val="uk-UA"/>
        </w:rPr>
        <w:t>____(назва Банку)___</w:t>
      </w:r>
      <w:r>
        <w:rPr>
          <w:sz w:val="28"/>
          <w:szCs w:val="28"/>
          <w:lang w:val="ru-RU"/>
        </w:rPr>
        <w:t xml:space="preserve"> на впровадження енерго</w:t>
      </w:r>
      <w:r>
        <w:rPr>
          <w:sz w:val="28"/>
          <w:szCs w:val="28"/>
          <w:lang w:val="uk-UA"/>
        </w:rPr>
        <w:t>ефективн</w:t>
      </w:r>
      <w:r>
        <w:rPr>
          <w:sz w:val="28"/>
          <w:szCs w:val="28"/>
          <w:lang w:val="ru-RU"/>
        </w:rPr>
        <w:t xml:space="preserve">их заходів у рамках </w:t>
      </w:r>
      <w:r>
        <w:rPr>
          <w:sz w:val="28"/>
          <w:szCs w:val="28"/>
          <w:lang w:val="uk-UA"/>
        </w:rPr>
        <w:t>участі в програмах державної установи «Фонд енергоефективності», зокрема у П</w:t>
      </w:r>
      <w:r>
        <w:rPr>
          <w:sz w:val="28"/>
          <w:szCs w:val="28"/>
          <w:lang w:val="ru-RU"/>
        </w:rPr>
        <w:t>рограм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ru-RU"/>
        </w:rPr>
        <w:t xml:space="preserve"> підтримки енергомодернізації багатоквартирних будинків «ЕНЕРГОДІМ»</w:t>
      </w:r>
      <w:r>
        <w:rPr>
          <w:sz w:val="28"/>
          <w:szCs w:val="28"/>
          <w:lang w:val="uk-UA"/>
        </w:rPr>
        <w:t xml:space="preserve"> державної установи «Фонд енергоефективності» та сплатили відсотки за кредитом </w:t>
      </w:r>
      <w:r>
        <w:rPr>
          <w:sz w:val="28"/>
          <w:szCs w:val="28"/>
          <w:lang w:val="ru-RU" w:eastAsia="ar-SA"/>
        </w:rPr>
        <w:t>у попередньому місяці</w:t>
      </w:r>
      <w:r>
        <w:rPr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що містить інформацію про нараховані та фактично сплачені Позичальником відсотки за користування кредитом.</w:t>
      </w:r>
    </w:p>
    <w:p>
      <w:pPr>
        <w:pStyle w:val="ListParagraph"/>
        <w:tabs>
          <w:tab w:val="left" w:pos="1658" w:leader="none"/>
          <w:tab w:val="left" w:pos="3515" w:leader="none"/>
          <w:tab w:val="left" w:pos="4561" w:leader="none"/>
          <w:tab w:val="left" w:pos="5329" w:leader="none"/>
          <w:tab w:val="left" w:pos="5828" w:leader="none"/>
          <w:tab w:val="left" w:pos="6147" w:leader="none"/>
          <w:tab w:val="left" w:pos="6913" w:leader="none"/>
          <w:tab w:val="left" w:pos="8468" w:leader="none"/>
        </w:tabs>
        <w:spacing w:lineRule="exact" w:line="295" w:before="120" w:after="0"/>
        <w:ind w:left="0" w:firstLine="540"/>
        <w:contextualSpacing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2.4. Головний розпорядник здійснює виплату відшкодування на рахунок ОСББ, реквізити якого вказано в розділі 7 цього Договору, не пізніше 10 (десятого) числа місяця, наступного за місяцем фактичної сплати</w:t>
      </w:r>
      <w:r>
        <w:rPr>
          <w:sz w:val="28"/>
          <w:szCs w:val="28"/>
          <w:lang w:val="uk-UA"/>
        </w:rPr>
        <w:t xml:space="preserve"> процентів.</w:t>
      </w:r>
    </w:p>
    <w:p>
      <w:pPr>
        <w:pStyle w:val="ListParagraph"/>
        <w:tabs>
          <w:tab w:val="left" w:pos="1658" w:leader="none"/>
          <w:tab w:val="left" w:pos="3515" w:leader="none"/>
          <w:tab w:val="left" w:pos="4561" w:leader="none"/>
          <w:tab w:val="left" w:pos="5329" w:leader="none"/>
          <w:tab w:val="left" w:pos="5828" w:leader="none"/>
          <w:tab w:val="left" w:pos="6147" w:leader="none"/>
          <w:tab w:val="left" w:pos="6913" w:leader="none"/>
          <w:tab w:val="left" w:pos="8468" w:leader="none"/>
        </w:tabs>
        <w:spacing w:lineRule="exact" w:line="295" w:before="120" w:after="0"/>
        <w:ind w:left="0" w:firstLine="5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До суми Відшкодування не можуть бути включені будь-які штрафи та/або пені, інші платежі, крім процентів, нарахованих згідно з умовами кредитного договору, а також сплачені наперед суми процентів за користування кредитом.</w:t>
      </w:r>
    </w:p>
    <w:p>
      <w:pPr>
        <w:pStyle w:val="ListParagraph"/>
        <w:tabs>
          <w:tab w:val="left" w:pos="1658" w:leader="none"/>
          <w:tab w:val="left" w:pos="3515" w:leader="none"/>
          <w:tab w:val="left" w:pos="4561" w:leader="none"/>
          <w:tab w:val="left" w:pos="5329" w:leader="none"/>
          <w:tab w:val="left" w:pos="5828" w:leader="none"/>
          <w:tab w:val="left" w:pos="6147" w:leader="none"/>
          <w:tab w:val="left" w:pos="6913" w:leader="none"/>
          <w:tab w:val="left" w:pos="8468" w:leader="none"/>
        </w:tabs>
        <w:spacing w:lineRule="exact" w:line="295" w:before="120" w:after="0"/>
        <w:ind w:left="567" w:hang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ListParagraph"/>
        <w:tabs>
          <w:tab w:val="left" w:pos="1418" w:leader="none"/>
          <w:tab w:val="left" w:pos="3515" w:leader="none"/>
          <w:tab w:val="left" w:pos="4561" w:leader="none"/>
          <w:tab w:val="left" w:pos="5329" w:leader="none"/>
          <w:tab w:val="left" w:pos="5828" w:leader="none"/>
          <w:tab w:val="left" w:pos="6147" w:leader="none"/>
          <w:tab w:val="left" w:pos="6913" w:leader="none"/>
          <w:tab w:val="left" w:pos="8468" w:leader="none"/>
        </w:tabs>
        <w:spacing w:lineRule="exact" w:line="295" w:before="0" w:after="0"/>
        <w:ind w:left="0" w:hanging="0"/>
        <w:contextualSpacing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Права та обов'язки</w:t>
      </w:r>
      <w:r>
        <w:rPr>
          <w:b/>
          <w:spacing w:val="4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сторін</w:t>
      </w:r>
    </w:p>
    <w:p>
      <w:pPr>
        <w:pStyle w:val="Normal"/>
        <w:tabs>
          <w:tab w:val="left" w:pos="905" w:leader="none"/>
          <w:tab w:val="left" w:pos="1418" w:leader="none"/>
        </w:tabs>
        <w:spacing w:lineRule="exact" w:line="298" w:before="0" w:after="0"/>
        <w:ind w:firstLine="547"/>
        <w:jc w:val="both"/>
        <w:rPr>
          <w:b/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3.1 </w:t>
      </w:r>
      <w:r>
        <w:rPr>
          <w:b/>
          <w:bCs/>
          <w:sz w:val="28"/>
          <w:szCs w:val="28"/>
          <w:lang w:val="uk-UA"/>
        </w:rPr>
        <w:t>Головний розпорядник зобов’язується:</w:t>
      </w:r>
    </w:p>
    <w:p>
      <w:pPr>
        <w:pStyle w:val="ListParagraph"/>
        <w:tabs>
          <w:tab w:val="left" w:pos="709" w:leader="none"/>
          <w:tab w:val="left" w:pos="993" w:leader="none"/>
          <w:tab w:val="left" w:pos="1276" w:leader="none"/>
        </w:tabs>
        <w:spacing w:before="0" w:after="0"/>
        <w:ind w:left="0"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3.1.1. Забезпечувати ОСББ консультаціями та документацією з питань, що стосуються взаємних зобов’язань Сторін згідно з даним</w:t>
      </w:r>
      <w:r>
        <w:rPr>
          <w:bCs/>
          <w:spacing w:val="-1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Договором.</w:t>
      </w:r>
    </w:p>
    <w:p>
      <w:pPr>
        <w:pStyle w:val="ListParagraph"/>
        <w:tabs>
          <w:tab w:val="left" w:pos="709" w:leader="none"/>
          <w:tab w:val="left" w:pos="993" w:leader="none"/>
          <w:tab w:val="left" w:pos="1276" w:leader="none"/>
        </w:tabs>
        <w:spacing w:before="0" w:after="0"/>
        <w:ind w:left="0"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3.1.2. Своєчасно здійснювати перерахування коштів, спрямованих на відшкодування процентів, в порядку і на умовах, передбачених цим</w:t>
      </w:r>
      <w:r>
        <w:rPr>
          <w:bCs/>
          <w:spacing w:val="8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Договором.</w:t>
      </w:r>
    </w:p>
    <w:p>
      <w:pPr>
        <w:pStyle w:val="ListParagraph"/>
        <w:tabs>
          <w:tab w:val="left" w:pos="709" w:leader="none"/>
          <w:tab w:val="left" w:pos="993" w:leader="none"/>
          <w:tab w:val="left" w:pos="1276" w:leader="none"/>
        </w:tabs>
        <w:spacing w:before="0" w:after="0"/>
        <w:ind w:left="0"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3.1.3. Вести облік звернень ОСББ та банківських документів, за якими здійснено відшкодування та контроль виконання фінансових зобов’язань за</w:t>
      </w:r>
      <w:r>
        <w:rPr>
          <w:bCs/>
          <w:spacing w:val="1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Договором.</w:t>
      </w:r>
    </w:p>
    <w:p>
      <w:pPr>
        <w:pStyle w:val="ListParagraph"/>
        <w:tabs>
          <w:tab w:val="left" w:pos="567" w:leader="none"/>
        </w:tabs>
        <w:spacing w:before="0" w:after="0"/>
        <w:ind w:left="0" w:firstLine="547"/>
        <w:jc w:val="both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3.2 ОСББ</w:t>
      </w:r>
      <w:r>
        <w:rPr>
          <w:b/>
          <w:bCs/>
          <w:spacing w:val="2"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зобов'язується:</w:t>
      </w:r>
    </w:p>
    <w:p>
      <w:pPr>
        <w:pStyle w:val="ListParagraph"/>
        <w:tabs>
          <w:tab w:val="left" w:pos="567" w:leader="none"/>
        </w:tabs>
        <w:spacing w:before="0" w:after="0"/>
        <w:ind w:left="0" w:firstLine="540"/>
        <w:jc w:val="both"/>
        <w:rPr>
          <w:bCs/>
          <w:color w:val="0070C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3.2.1. Реалізувати Проект з впровадження енергоефективних заходів багатоквартирного будинку відповідно до </w:t>
      </w:r>
      <w:r>
        <w:rPr>
          <w:sz w:val="28"/>
          <w:szCs w:val="28"/>
          <w:lang w:val="uk-UA"/>
        </w:rPr>
        <w:t>програм державної установи «Фонд енергоефективності», зокрема у Програми підтримки енергомодернізації багатоквартирних будинків «ЕНЕРГОДІМ» державної установи «Фонд енергоефективності»</w:t>
      </w:r>
      <w:r>
        <w:rPr>
          <w:bCs/>
          <w:sz w:val="28"/>
          <w:szCs w:val="28"/>
          <w:lang w:val="uk-UA"/>
        </w:rPr>
        <w:t xml:space="preserve">. </w:t>
      </w:r>
    </w:p>
    <w:p>
      <w:pPr>
        <w:pStyle w:val="ListParagraph"/>
        <w:tabs>
          <w:tab w:val="left" w:pos="851" w:leader="none"/>
        </w:tabs>
        <w:spacing w:before="0" w:after="0"/>
        <w:ind w:left="0" w:firstLine="54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3.2.2. Виконувати свої зобов’язання за кредитним договором з Банком.</w:t>
      </w:r>
    </w:p>
    <w:p>
      <w:pPr>
        <w:pStyle w:val="Normal"/>
        <w:tabs>
          <w:tab w:val="left" w:pos="420" w:leader="none"/>
          <w:tab w:val="left" w:pos="709" w:leader="none"/>
          <w:tab w:val="left" w:pos="851" w:leader="none"/>
          <w:tab w:val="left" w:pos="993" w:leader="none"/>
          <w:tab w:val="left" w:pos="1276" w:leader="none"/>
        </w:tabs>
        <w:spacing w:before="0" w:after="0"/>
        <w:ind w:left="851" w:hanging="284"/>
        <w:jc w:val="both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tabs>
          <w:tab w:val="left" w:pos="0" w:leader="none"/>
          <w:tab w:val="left" w:pos="420" w:leader="none"/>
          <w:tab w:val="left" w:pos="709" w:leader="none"/>
          <w:tab w:val="left" w:pos="993" w:leader="none"/>
          <w:tab w:val="left" w:pos="1276" w:leader="none"/>
        </w:tabs>
        <w:spacing w:before="0" w:after="0"/>
        <w:ind w:left="851" w:hanging="851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Відповідальність сторін</w:t>
      </w:r>
    </w:p>
    <w:p>
      <w:pPr>
        <w:pStyle w:val="ListParagraph"/>
        <w:numPr>
          <w:ilvl w:val="0"/>
          <w:numId w:val="3"/>
        </w:numPr>
        <w:tabs>
          <w:tab w:val="left" w:pos="905" w:leader="none"/>
        </w:tabs>
        <w:spacing w:before="120" w:after="0"/>
        <w:ind w:left="0" w:firstLine="547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Сторони несуть відповідальність за невиконання (несвоєчасне чи інше неналежне виконання) зобов'язань за цим Договором відповідно до чинного законодавства України.</w:t>
      </w:r>
    </w:p>
    <w:p>
      <w:pPr>
        <w:pStyle w:val="Normal"/>
        <w:tabs>
          <w:tab w:val="left" w:pos="905" w:leader="none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</w:r>
    </w:p>
    <w:p>
      <w:pPr>
        <w:pStyle w:val="ListParagraph"/>
        <w:tabs>
          <w:tab w:val="left" w:pos="905" w:leader="none"/>
        </w:tabs>
        <w:ind w:left="284" w:hanging="0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5.Форс –</w:t>
      </w:r>
      <w:r>
        <w:rPr>
          <w:b/>
          <w:spacing w:val="3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мажор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Сторони звільняються від відповідальності за невиконання будь-якого з положень цього Договору, якщо це відбулось внаслідок обставин непереборної сили (форс-мажорних обставин) та доведуть, що невиконання зобов’язань було викликано перешкодою поза межами їх контролю після укладання Договору, яку навіть уважна сторона не могла б передбачити. До таких обставин належать, але не обмежується ними: стихійне лихо, екстремальні погодні умови, перебої у постачанні електроенергії та вихід з ладу телекомунікацій, збої комп’ютерних систем, пожежі, страйки, військові дії.</w:t>
      </w:r>
    </w:p>
    <w:p>
      <w:pPr>
        <w:pStyle w:val="Normal"/>
        <w:tabs>
          <w:tab w:val="left" w:pos="905" w:leader="none"/>
        </w:tabs>
        <w:spacing w:before="12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Факти існування та тривалості форс-мажорних обставин підтверджуються документами компетентних органів, які уповноважені посвідчувати обставини форс-мажору, відповідно до чинного законодавства.</w:t>
      </w:r>
    </w:p>
    <w:p>
      <w:pPr>
        <w:pStyle w:val="ListParagraph"/>
        <w:tabs>
          <w:tab w:val="left" w:pos="905" w:leader="none"/>
        </w:tabs>
        <w:ind w:left="644" w:hanging="0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ListParagraph"/>
        <w:tabs>
          <w:tab w:val="left" w:pos="905" w:leader="none"/>
        </w:tabs>
        <w:ind w:left="644" w:hanging="0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 Строк дії договору та інші</w:t>
      </w:r>
      <w:r>
        <w:rPr>
          <w:b/>
          <w:spacing w:val="7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умови</w:t>
      </w:r>
    </w:p>
    <w:p>
      <w:pPr>
        <w:pStyle w:val="Normal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6.1. Цей Договір набуває чинності з дня його підписання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ru-RU"/>
        </w:rPr>
        <w:t xml:space="preserve">торонами і діє до повного виконання ними </w:t>
      </w:r>
      <w:r>
        <w:rPr>
          <w:sz w:val="28"/>
          <w:szCs w:val="28"/>
          <w:lang w:val="uk-UA"/>
        </w:rPr>
        <w:t xml:space="preserve">взятих на себе </w:t>
      </w:r>
      <w:r>
        <w:rPr>
          <w:sz w:val="28"/>
          <w:szCs w:val="28"/>
          <w:lang w:val="ru-RU"/>
        </w:rPr>
        <w:t>зобов’язань.</w:t>
      </w:r>
    </w:p>
    <w:p>
      <w:pPr>
        <w:pStyle w:val="Normal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/>
        </w:rPr>
        <w:t>6.2.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Будь-які зміни і доповнення до цього 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  <w:lang w:val="ru-RU"/>
        </w:rPr>
        <w:t xml:space="preserve">оговору вносяться шляхом укладання додаткових угод лише за згодою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ru-RU"/>
        </w:rPr>
        <w:t xml:space="preserve">торін, а також </w:t>
      </w:r>
      <w:r>
        <w:rPr>
          <w:sz w:val="28"/>
          <w:szCs w:val="28"/>
          <w:lang w:val="ru-RU" w:eastAsia="ar-SA"/>
        </w:rPr>
        <w:t xml:space="preserve">у разі внесення змін до Програми </w:t>
      </w:r>
      <w:r>
        <w:rPr>
          <w:sz w:val="28"/>
          <w:szCs w:val="28"/>
          <w:lang w:val="uk-UA"/>
        </w:rPr>
        <w:t>«Тепла оселя»</w:t>
      </w:r>
      <w:r>
        <w:rPr>
          <w:sz w:val="28"/>
          <w:szCs w:val="28"/>
          <w:lang w:val="ru-RU" w:eastAsia="ar-SA"/>
        </w:rPr>
        <w:t xml:space="preserve">. </w:t>
      </w:r>
    </w:p>
    <w:p>
      <w:pPr>
        <w:pStyle w:val="Normal"/>
        <w:ind w:right="-2" w:firstLine="709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6.3. Договір може бути розірваний тільки за взаємною згодою Сторін шляхом укладення відповідної додаткової угоди. </w:t>
      </w:r>
    </w:p>
    <w:p>
      <w:pPr>
        <w:pStyle w:val="Normal"/>
        <w:ind w:right="-2" w:firstLine="709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6.4.</w:t>
      </w:r>
      <w:r>
        <w:rPr>
          <w:sz w:val="28"/>
          <w:szCs w:val="28"/>
          <w:lang w:eastAsia="ar-SA"/>
        </w:rPr>
        <w:t> </w:t>
      </w:r>
      <w:r>
        <w:rPr>
          <w:sz w:val="28"/>
          <w:szCs w:val="28"/>
          <w:lang w:val="uk-UA" w:eastAsia="ar-SA"/>
        </w:rPr>
        <w:t>Додаткові угоди та додатки до цього Договору є його невід’ємною частиною і мають юридичну силу в разі, якщо вони викладені у письмовій формі та підписані Сторонами.</w:t>
      </w:r>
    </w:p>
    <w:p>
      <w:pPr>
        <w:pStyle w:val="Normal"/>
        <w:ind w:right="57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6.5. </w:t>
      </w:r>
      <w:r>
        <w:rPr>
          <w:sz w:val="28"/>
          <w:szCs w:val="28"/>
          <w:lang w:val="ru-RU"/>
        </w:rPr>
        <w:t xml:space="preserve">У разі виникнення спорів у ході виконання цього 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  <w:lang w:val="ru-RU"/>
        </w:rPr>
        <w:t xml:space="preserve">оговору,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ru-RU"/>
        </w:rPr>
        <w:t xml:space="preserve">торони будуть намагатися вирішувати їх шляхом переговорів. Зацікавлена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ru-RU"/>
        </w:rPr>
        <w:t xml:space="preserve">торона має право звернутися до суду, якщо під час переговорів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ru-RU"/>
        </w:rPr>
        <w:t>торони не дійшли згоди щодо врегулювання спору.</w:t>
      </w:r>
    </w:p>
    <w:p>
      <w:pPr>
        <w:pStyle w:val="Normal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Цей</w:t>
      </w:r>
      <w:r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ru-RU"/>
        </w:rPr>
        <w:t>оговір складено українською мовою у двох оригінальних примірниках, що мають однакову юридичну силу</w:t>
      </w:r>
      <w:r>
        <w:rPr>
          <w:sz w:val="28"/>
          <w:szCs w:val="28"/>
          <w:lang w:val="uk-UA"/>
        </w:rPr>
        <w:t>, по одному для кожної зі Сторін</w:t>
      </w:r>
      <w:r>
        <w:rPr>
          <w:sz w:val="28"/>
          <w:szCs w:val="28"/>
          <w:lang w:val="ru-RU"/>
        </w:rPr>
        <w:t>.</w:t>
      </w:r>
    </w:p>
    <w:p>
      <w:pPr>
        <w:pStyle w:val="ListParagraph"/>
        <w:tabs>
          <w:tab w:val="left" w:pos="905" w:leader="none"/>
        </w:tabs>
        <w:ind w:left="284" w:hanging="0"/>
        <w:jc w:val="center"/>
        <w:rPr/>
      </w:pPr>
      <w:r>
        <w:rPr>
          <w:b/>
          <w:sz w:val="28"/>
          <w:szCs w:val="28"/>
          <w:lang w:val="uk-UA"/>
        </w:rPr>
        <w:t>7.Місцезнаходження та реквізити</w:t>
      </w:r>
      <w:r>
        <w:rPr>
          <w:b/>
          <w:spacing w:val="3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Сторін</w:t>
      </w:r>
    </w:p>
    <w:p>
      <w:pPr>
        <w:pStyle w:val="Normal"/>
        <w:tabs>
          <w:tab w:val="left" w:pos="905" w:leader="none"/>
        </w:tabs>
        <w:ind w:right="184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tbl>
      <w:tblPr>
        <w:tblW w:w="5000" w:type="pct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4714"/>
        <w:gridCol w:w="4640"/>
      </w:tblGrid>
      <w:tr>
        <w:trPr>
          <w:trHeight w:val="227" w:hRule="atLeast"/>
        </w:trPr>
        <w:tc>
          <w:tcPr>
            <w:tcW w:w="471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ГОЛОВНИЙ РОЗПОРЯДНИК</w:t>
            </w:r>
          </w:p>
        </w:tc>
        <w:tc>
          <w:tcPr>
            <w:tcW w:w="464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  <w:r>
              <w:rPr>
                <w:b/>
                <w:sz w:val="28"/>
                <w:szCs w:val="28"/>
                <w:lang w:val="uk-UA"/>
              </w:rPr>
              <w:t>ОСББ</w:t>
            </w:r>
          </w:p>
        </w:tc>
      </w:tr>
      <w:tr>
        <w:trPr>
          <w:trHeight w:val="227" w:hRule="atLeast"/>
        </w:trPr>
        <w:tc>
          <w:tcPr>
            <w:tcW w:w="471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4640" w:type="dxa"/>
            <w:tcBorders/>
            <w:shd w:fill="auto" w:val="clea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назва</w:t>
            </w:r>
          </w:p>
        </w:tc>
      </w:tr>
      <w:tr>
        <w:trPr>
          <w:trHeight w:val="227" w:hRule="atLeast"/>
        </w:trPr>
        <w:tc>
          <w:tcPr>
            <w:tcW w:w="471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місцезнаходження</w:t>
            </w:r>
          </w:p>
        </w:tc>
        <w:tc>
          <w:tcPr>
            <w:tcW w:w="464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місцезнаходження</w:t>
            </w:r>
          </w:p>
        </w:tc>
      </w:tr>
      <w:tr>
        <w:trPr>
          <w:trHeight w:val="227" w:hRule="atLeast"/>
        </w:trPr>
        <w:tc>
          <w:tcPr>
            <w:tcW w:w="471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п/р</w:t>
            </w:r>
          </w:p>
        </w:tc>
        <w:tc>
          <w:tcPr>
            <w:tcW w:w="464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п/р</w:t>
            </w:r>
          </w:p>
        </w:tc>
      </w:tr>
      <w:tr>
        <w:trPr>
          <w:trHeight w:val="227" w:hRule="atLeast"/>
        </w:trPr>
        <w:tc>
          <w:tcPr>
            <w:tcW w:w="471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назва банку</w:t>
            </w:r>
          </w:p>
        </w:tc>
        <w:tc>
          <w:tcPr>
            <w:tcW w:w="464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назва банку</w:t>
            </w:r>
          </w:p>
        </w:tc>
      </w:tr>
      <w:tr>
        <w:trPr>
          <w:trHeight w:val="227" w:hRule="atLeast"/>
        </w:trPr>
        <w:tc>
          <w:tcPr>
            <w:tcW w:w="471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адреса банку</w:t>
            </w:r>
          </w:p>
        </w:tc>
        <w:tc>
          <w:tcPr>
            <w:tcW w:w="464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адреса банку</w:t>
            </w:r>
          </w:p>
        </w:tc>
      </w:tr>
      <w:tr>
        <w:trPr>
          <w:trHeight w:val="227" w:hRule="atLeast"/>
        </w:trPr>
        <w:tc>
          <w:tcPr>
            <w:tcW w:w="471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код банку</w:t>
            </w:r>
          </w:p>
        </w:tc>
        <w:tc>
          <w:tcPr>
            <w:tcW w:w="464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код банку</w:t>
            </w:r>
          </w:p>
        </w:tc>
      </w:tr>
      <w:tr>
        <w:trPr>
          <w:trHeight w:val="227" w:hRule="atLeast"/>
        </w:trPr>
        <w:tc>
          <w:tcPr>
            <w:tcW w:w="471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ПІБ керівника</w:t>
            </w:r>
          </w:p>
        </w:tc>
        <w:tc>
          <w:tcPr>
            <w:tcW w:w="4640" w:type="dxa"/>
            <w:tcBorders/>
            <w:shd w:fill="auto" w:val="clea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ПІБ голови правління</w:t>
            </w:r>
          </w:p>
        </w:tc>
      </w:tr>
      <w:tr>
        <w:trPr>
          <w:trHeight w:val="523" w:hRule="atLeast"/>
        </w:trPr>
        <w:tc>
          <w:tcPr>
            <w:tcW w:w="471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______підпис</w:t>
            </w:r>
          </w:p>
        </w:tc>
        <w:tc>
          <w:tcPr>
            <w:tcW w:w="464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_______підпис</w:t>
            </w:r>
          </w:p>
        </w:tc>
      </w:tr>
      <w:tr>
        <w:trPr>
          <w:trHeight w:val="227" w:hRule="atLeast"/>
        </w:trPr>
        <w:tc>
          <w:tcPr>
            <w:tcW w:w="471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МП</w:t>
            </w:r>
          </w:p>
        </w:tc>
        <w:tc>
          <w:tcPr>
            <w:tcW w:w="464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905" w:leader="none"/>
              </w:tabs>
              <w:ind w:right="184" w:hang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МП</w:t>
            </w:r>
          </w:p>
        </w:tc>
      </w:tr>
    </w:tbl>
    <w:p>
      <w:pPr>
        <w:pStyle w:val="Normal"/>
        <w:tabs>
          <w:tab w:val="left" w:pos="905" w:leader="none"/>
        </w:tabs>
        <w:ind w:right="-1" w:hanging="0"/>
        <w:rPr/>
      </w:pPr>
      <w:r>
        <w:rPr/>
      </w:r>
    </w:p>
    <w:sectPr>
      <w:type w:val="nextPage"/>
      <w:pgSz w:w="11906" w:h="16838"/>
      <w:pgMar w:left="1701" w:right="850" w:header="0" w:top="1135" w:footer="0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  <w:rPr>
        <w:sz w:val="28"/>
        <w:b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ind w:left="570" w:hanging="428"/>
      </w:pPr>
      <w:rPr>
        <w:sz w:val="28"/>
        <w:b/>
        <w:szCs w:val="26"/>
        <w:bCs/>
        <w:w w:val="99"/>
        <w:rFonts w:eastAsia="Times New Roman" w:cs="Times New Roman"/>
      </w:rPr>
    </w:lvl>
    <w:lvl w:ilvl="1">
      <w:start w:val="1"/>
      <w:numFmt w:val="decimal"/>
      <w:lvlText w:val="%1.%2"/>
      <w:lvlJc w:val="left"/>
      <w:pPr>
        <w:ind w:left="1133" w:hanging="423"/>
      </w:pPr>
      <w:rPr>
        <w:sz w:val="28"/>
        <w:b/>
        <w:szCs w:val="26"/>
        <w:w w:val="99"/>
        <w:rFonts w:eastAsia="Times New Roman" w:cs="Times New Roman"/>
      </w:rPr>
    </w:lvl>
    <w:lvl w:ilvl="2">
      <w:start w:val="1"/>
      <w:numFmt w:val="bullet"/>
      <w:lvlText w:val=""/>
      <w:lvlJc w:val="left"/>
      <w:pPr>
        <w:ind w:left="920" w:hanging="423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2022" w:hanging="423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3125" w:hanging="423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4227" w:hanging="423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5330" w:hanging="423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432" w:hanging="423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535" w:hanging="423"/>
      </w:pPr>
      <w:rPr>
        <w:rFonts w:ascii="Symbol" w:hAnsi="Symbol" w:cs="Symbol" w:hint="default"/>
        <w:rFonts w:cs="Symbol"/>
      </w:rPr>
    </w:lvl>
  </w:abstractNum>
  <w:abstractNum w:abstractNumId="3">
    <w:lvl w:ilvl="0">
      <w:start w:val="1"/>
      <w:numFmt w:val="decimal"/>
      <w:lvlText w:val="4.%1."/>
      <w:lvlJc w:val="left"/>
      <w:pPr>
        <w:ind w:left="720" w:hanging="360"/>
      </w:pPr>
      <w:rPr>
        <w:sz w:val="28"/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1198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A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9"/>
    <w:qFormat/>
    <w:rsid w:val="00e41198"/>
    <w:pPr>
      <w:ind w:left="1058" w:hanging="0"/>
      <w:outlineLvl w:val="0"/>
    </w:pPr>
    <w:rPr>
      <w:rFonts w:eastAsia="Calibri"/>
      <w:b/>
      <w:b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9"/>
    <w:qFormat/>
    <w:locked/>
    <w:rsid w:val="00e41198"/>
    <w:rPr>
      <w:rFonts w:ascii="Times New Roman" w:hAnsi="Times New Roman"/>
      <w:b/>
      <w:sz w:val="28"/>
      <w:lang w:val="en-US"/>
    </w:rPr>
  </w:style>
  <w:style w:type="character" w:styleId="Style13" w:customStyle="1">
    <w:name w:val="Основний текст Знак"/>
    <w:link w:val="a3"/>
    <w:uiPriority w:val="99"/>
    <w:qFormat/>
    <w:locked/>
    <w:rsid w:val="00e41198"/>
    <w:rPr>
      <w:rFonts w:ascii="Times New Roman" w:hAnsi="Times New Roman"/>
      <w:sz w:val="26"/>
      <w:lang w:val="en-US"/>
    </w:rPr>
  </w:style>
  <w:style w:type="character" w:styleId="Style14" w:customStyle="1">
    <w:name w:val="Текст у виносці Знак"/>
    <w:link w:val="a7"/>
    <w:uiPriority w:val="99"/>
    <w:semiHidden/>
    <w:qFormat/>
    <w:rsid w:val="00f80af0"/>
    <w:rPr>
      <w:rFonts w:ascii="Tahoma" w:hAnsi="Tahoma" w:eastAsia="Times New Roman" w:cs="Tahoma"/>
      <w:sz w:val="16"/>
      <w:szCs w:val="16"/>
      <w:lang w:val="en-US"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d1b4a"/>
    <w:rPr>
      <w:sz w:val="16"/>
      <w:szCs w:val="16"/>
    </w:rPr>
  </w:style>
  <w:style w:type="character" w:styleId="Style15" w:customStyle="1">
    <w:name w:val="Текст примітки Знак"/>
    <w:basedOn w:val="DefaultParagraphFont"/>
    <w:link w:val="aa"/>
    <w:uiPriority w:val="99"/>
    <w:semiHidden/>
    <w:qFormat/>
    <w:rsid w:val="00dd1b4a"/>
    <w:rPr>
      <w:rFonts w:ascii="Times New Roman" w:hAnsi="Times New Roman" w:eastAsia="Times New Roman"/>
      <w:lang w:val="en-US" w:eastAsia="en-US"/>
    </w:rPr>
  </w:style>
  <w:style w:type="character" w:styleId="Style16" w:customStyle="1">
    <w:name w:val="Тема примітки Знак"/>
    <w:basedOn w:val="Style15"/>
    <w:link w:val="ac"/>
    <w:uiPriority w:val="99"/>
    <w:semiHidden/>
    <w:qFormat/>
    <w:rsid w:val="00dd1b4a"/>
    <w:rPr>
      <w:rFonts w:ascii="Times New Roman" w:hAnsi="Times New Roman" w:eastAsia="Times New Roman"/>
      <w:b/>
      <w:bCs/>
      <w:lang w:val="en-US" w:eastAsia="en-US"/>
    </w:rPr>
  </w:style>
  <w:style w:type="character" w:styleId="ListLabel1">
    <w:name w:val="ListLabel 1"/>
    <w:qFormat/>
    <w:rPr>
      <w:rFonts w:cs="Times New Roman"/>
      <w:b/>
      <w:sz w:val="28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eastAsia="Times New Roman" w:cs="Times New Roman"/>
      <w:b/>
      <w:bCs/>
      <w:w w:val="99"/>
      <w:sz w:val="28"/>
      <w:szCs w:val="26"/>
    </w:rPr>
  </w:style>
  <w:style w:type="character" w:styleId="ListLabel20">
    <w:name w:val="ListLabel 20"/>
    <w:qFormat/>
    <w:rPr>
      <w:rFonts w:eastAsia="Times New Roman" w:cs="Times New Roman"/>
      <w:b/>
      <w:w w:val="99"/>
      <w:sz w:val="28"/>
      <w:szCs w:val="26"/>
    </w:rPr>
  </w:style>
  <w:style w:type="character" w:styleId="ListLabel21">
    <w:name w:val="ListLabel 21"/>
    <w:qFormat/>
    <w:rPr>
      <w:rFonts w:eastAsia="Times New Roman" w:cs="Times New Roman"/>
      <w:w w:val="99"/>
      <w:sz w:val="26"/>
      <w:szCs w:val="26"/>
    </w:rPr>
  </w:style>
  <w:style w:type="character" w:styleId="ListLabel22">
    <w:name w:val="ListLabel 22"/>
    <w:qFormat/>
    <w:rPr>
      <w:rFonts w:eastAsia="Times New Roman" w:cs="Times New Roman"/>
      <w:b/>
      <w:bCs/>
      <w:w w:val="99"/>
      <w:sz w:val="26"/>
      <w:szCs w:val="26"/>
    </w:rPr>
  </w:style>
  <w:style w:type="character" w:styleId="ListLabel23">
    <w:name w:val="ListLabel 23"/>
    <w:qFormat/>
    <w:rPr>
      <w:rFonts w:eastAsia="Times New Roman" w:cs="Times New Roman"/>
      <w:w w:val="99"/>
      <w:sz w:val="26"/>
      <w:szCs w:val="26"/>
    </w:rPr>
  </w:style>
  <w:style w:type="character" w:styleId="ListLabel24">
    <w:name w:val="ListLabel 24"/>
    <w:qFormat/>
    <w:rPr>
      <w:rFonts w:eastAsia="Times New Roman" w:cs="Times New Roman"/>
      <w:b/>
      <w:bCs/>
      <w:w w:val="99"/>
      <w:sz w:val="26"/>
      <w:szCs w:val="26"/>
    </w:rPr>
  </w:style>
  <w:style w:type="character" w:styleId="ListLabel25">
    <w:name w:val="ListLabel 25"/>
    <w:qFormat/>
    <w:rPr>
      <w:rFonts w:eastAsia="Times New Roman" w:cs="Times New Roman"/>
      <w:w w:val="99"/>
      <w:sz w:val="26"/>
      <w:szCs w:val="26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eastAsia="Times New Roman" w:cs="Times New Roman"/>
      <w:b/>
      <w:bCs/>
      <w:w w:val="99"/>
      <w:sz w:val="26"/>
      <w:szCs w:val="26"/>
    </w:rPr>
  </w:style>
  <w:style w:type="character" w:styleId="ListLabel45">
    <w:name w:val="ListLabel 45"/>
    <w:qFormat/>
    <w:rPr>
      <w:rFonts w:eastAsia="Times New Roman" w:cs="Times New Roman"/>
      <w:w w:val="99"/>
      <w:sz w:val="26"/>
      <w:szCs w:val="26"/>
    </w:rPr>
  </w:style>
  <w:style w:type="character" w:styleId="ListLabel46">
    <w:name w:val="ListLabel 46"/>
    <w:qFormat/>
    <w:rPr>
      <w:rFonts w:eastAsia="Times New Roman" w:cs="Times New Roman"/>
      <w:w w:val="99"/>
      <w:sz w:val="26"/>
      <w:szCs w:val="26"/>
    </w:rPr>
  </w:style>
  <w:style w:type="character" w:styleId="ListLabel47">
    <w:name w:val="ListLabel 47"/>
    <w:qFormat/>
    <w:rPr>
      <w:rFonts w:eastAsia="Times New Roman" w:cs="Times New Roman"/>
      <w:b/>
      <w:bCs/>
      <w:w w:val="99"/>
      <w:sz w:val="26"/>
      <w:szCs w:val="26"/>
    </w:rPr>
  </w:style>
  <w:style w:type="character" w:styleId="ListLabel48">
    <w:name w:val="ListLabel 48"/>
    <w:qFormat/>
    <w:rPr>
      <w:rFonts w:eastAsia="Times New Roman" w:cs="Times New Roman"/>
      <w:w w:val="99"/>
      <w:sz w:val="26"/>
      <w:szCs w:val="26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20">
    <w:name w:val="ListLabel 220"/>
    <w:qFormat/>
    <w:rPr>
      <w:rFonts w:cs="Times New Roman"/>
      <w:b/>
      <w:sz w:val="28"/>
    </w:rPr>
  </w:style>
  <w:style w:type="character" w:styleId="ListLabel221">
    <w:name w:val="ListLabel 221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  <w:b/>
      <w:sz w:val="28"/>
    </w:rPr>
  </w:style>
  <w:style w:type="character" w:styleId="ListLabel230">
    <w:name w:val="ListLabel 230"/>
    <w:qFormat/>
    <w:rPr>
      <w:rFonts w:cs="Times New Roman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5">
    <w:name w:val="ListLabel 235"/>
    <w:qFormat/>
    <w:rPr>
      <w:rFonts w:cs="Times New Roman"/>
    </w:rPr>
  </w:style>
  <w:style w:type="character" w:styleId="ListLabel236">
    <w:name w:val="ListLabel 236"/>
    <w:qFormat/>
    <w:rPr>
      <w:rFonts w:cs="Times New Roman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eastAsia="Times New Roman" w:cs="Times New Roman"/>
      <w:b/>
      <w:bCs/>
      <w:w w:val="99"/>
      <w:sz w:val="28"/>
      <w:szCs w:val="26"/>
    </w:rPr>
  </w:style>
  <w:style w:type="character" w:styleId="ListLabel239">
    <w:name w:val="ListLabel 239"/>
    <w:qFormat/>
    <w:rPr>
      <w:rFonts w:eastAsia="Times New Roman" w:cs="Times New Roman"/>
      <w:b/>
      <w:w w:val="99"/>
      <w:sz w:val="28"/>
      <w:szCs w:val="26"/>
    </w:rPr>
  </w:style>
  <w:style w:type="character" w:styleId="ListLabel240">
    <w:name w:val="ListLabel 240"/>
    <w:qFormat/>
    <w:rPr>
      <w:rFonts w:cs="Symbol"/>
    </w:rPr>
  </w:style>
  <w:style w:type="character" w:styleId="ListLabel241">
    <w:name w:val="ListLabel 241"/>
    <w:qFormat/>
    <w:rPr>
      <w:rFonts w:cs="Symbol"/>
    </w:rPr>
  </w:style>
  <w:style w:type="character" w:styleId="ListLabel242">
    <w:name w:val="ListLabel 242"/>
    <w:qFormat/>
    <w:rPr>
      <w:rFonts w:cs="Symbol"/>
    </w:rPr>
  </w:style>
  <w:style w:type="character" w:styleId="ListLabel243">
    <w:name w:val="ListLabel 243"/>
    <w:qFormat/>
    <w:rPr>
      <w:rFonts w:cs="Symbol"/>
    </w:rPr>
  </w:style>
  <w:style w:type="character" w:styleId="ListLabel244">
    <w:name w:val="ListLabel 244"/>
    <w:qFormat/>
    <w:rPr>
      <w:rFonts w:cs="Symbol"/>
    </w:rPr>
  </w:style>
  <w:style w:type="character" w:styleId="ListLabel245">
    <w:name w:val="ListLabel 245"/>
    <w:qFormat/>
    <w:rPr>
      <w:rFonts w:cs="Symbol"/>
    </w:rPr>
  </w:style>
  <w:style w:type="character" w:styleId="ListLabel246">
    <w:name w:val="ListLabel 246"/>
    <w:qFormat/>
    <w:rPr>
      <w:rFonts w:cs="Symbol"/>
    </w:rPr>
  </w:style>
  <w:style w:type="character" w:styleId="ListLabel247">
    <w:name w:val="ListLabel 247"/>
    <w:qFormat/>
    <w:rPr>
      <w:rFonts w:cs="Times New Roman"/>
      <w:b/>
      <w:sz w:val="28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</w:rPr>
  </w:style>
  <w:style w:type="character" w:styleId="ListLabel254">
    <w:name w:val="ListLabel 254"/>
    <w:qFormat/>
    <w:rPr>
      <w:rFonts w:cs="Times New Roman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Times New Roman"/>
      <w:b/>
      <w:sz w:val="28"/>
    </w:rPr>
  </w:style>
  <w:style w:type="character" w:styleId="ListLabel257">
    <w:name w:val="ListLabel 257"/>
    <w:qFormat/>
    <w:rPr>
      <w:rFonts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eastAsia="Times New Roman" w:cs="Times New Roman"/>
      <w:b/>
      <w:bCs/>
      <w:w w:val="99"/>
      <w:sz w:val="28"/>
      <w:szCs w:val="26"/>
    </w:rPr>
  </w:style>
  <w:style w:type="character" w:styleId="ListLabel266">
    <w:name w:val="ListLabel 266"/>
    <w:qFormat/>
    <w:rPr>
      <w:rFonts w:eastAsia="Times New Roman" w:cs="Times New Roman"/>
      <w:b/>
      <w:w w:val="99"/>
      <w:sz w:val="28"/>
      <w:szCs w:val="26"/>
    </w:rPr>
  </w:style>
  <w:style w:type="character" w:styleId="ListLabel267">
    <w:name w:val="ListLabel 267"/>
    <w:qFormat/>
    <w:rPr>
      <w:rFonts w:cs="Symbol"/>
    </w:rPr>
  </w:style>
  <w:style w:type="character" w:styleId="ListLabel268">
    <w:name w:val="ListLabel 268"/>
    <w:qFormat/>
    <w:rPr>
      <w:rFonts w:cs="Symbol"/>
    </w:rPr>
  </w:style>
  <w:style w:type="character" w:styleId="ListLabel269">
    <w:name w:val="ListLabel 269"/>
    <w:qFormat/>
    <w:rPr>
      <w:rFonts w:cs="Symbol"/>
    </w:rPr>
  </w:style>
  <w:style w:type="character" w:styleId="ListLabel270">
    <w:name w:val="ListLabel 270"/>
    <w:qFormat/>
    <w:rPr>
      <w:rFonts w:cs="Symbol"/>
    </w:rPr>
  </w:style>
  <w:style w:type="character" w:styleId="ListLabel271">
    <w:name w:val="ListLabel 271"/>
    <w:qFormat/>
    <w:rPr>
      <w:rFonts w:cs="Symbol"/>
    </w:rPr>
  </w:style>
  <w:style w:type="character" w:styleId="ListLabel272">
    <w:name w:val="ListLabel 272"/>
    <w:qFormat/>
    <w:rPr>
      <w:rFonts w:cs="Symbol"/>
    </w:rPr>
  </w:style>
  <w:style w:type="character" w:styleId="ListLabel273">
    <w:name w:val="ListLabel 273"/>
    <w:qFormat/>
    <w:rPr>
      <w:rFonts w:cs="Symbol"/>
    </w:rPr>
  </w:style>
  <w:style w:type="character" w:styleId="ListLabel274">
    <w:name w:val="ListLabel 274"/>
    <w:qFormat/>
    <w:rPr>
      <w:rFonts w:cs="Times New Roman"/>
      <w:b/>
      <w:sz w:val="28"/>
    </w:rPr>
  </w:style>
  <w:style w:type="character" w:styleId="ListLabel275">
    <w:name w:val="ListLabel 275"/>
    <w:qFormat/>
    <w:rPr>
      <w:rFonts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cs="Times New Roman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cs="Times New Roman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link w:val="a4"/>
    <w:uiPriority w:val="99"/>
    <w:rsid w:val="00e41198"/>
    <w:pPr/>
    <w:rPr>
      <w:rFonts w:eastAsia="Calibri"/>
      <w:sz w:val="26"/>
      <w:szCs w:val="26"/>
      <w:lang w:eastAsia="ru-RU"/>
    </w:rPr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99"/>
    <w:qFormat/>
    <w:rsid w:val="00e41198"/>
    <w:pPr>
      <w:spacing w:before="0" w:after="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99"/>
    <w:qFormat/>
    <w:rsid w:val="00d307ac"/>
    <w:pPr/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f80af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ab"/>
    <w:uiPriority w:val="99"/>
    <w:semiHidden/>
    <w:unhideWhenUsed/>
    <w:qFormat/>
    <w:rsid w:val="00dd1b4a"/>
    <w:pPr/>
    <w:rPr>
      <w:sz w:val="20"/>
      <w:szCs w:val="20"/>
    </w:rPr>
  </w:style>
  <w:style w:type="paragraph" w:styleId="Annotationsubject">
    <w:name w:val="annotation subject"/>
    <w:basedOn w:val="Annotationtext"/>
    <w:link w:val="ad"/>
    <w:uiPriority w:val="99"/>
    <w:semiHidden/>
    <w:unhideWhenUsed/>
    <w:qFormat/>
    <w:rsid w:val="00dd1b4a"/>
    <w:pPr/>
    <w:rPr>
      <w:b/>
      <w:bCs/>
    </w:rPr>
  </w:style>
  <w:style w:type="paragraph" w:styleId="Revision">
    <w:name w:val="Revision"/>
    <w:uiPriority w:val="99"/>
    <w:semiHidden/>
    <w:qFormat/>
    <w:rsid w:val="000c544b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99"/>
    <w:rsid w:val="006052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Application>LibreOffice/5.1.6.2$Linux_x86 LibreOffice_project/10m0$Build-2</Application>
  <Pages>3</Pages>
  <Words>832</Words>
  <Characters>5837</Characters>
  <CharactersWithSpaces>6714</CharactersWithSpaces>
  <Paragraphs>59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2019-12-08T21:16:00Z</dcterms:created>
  <dc:creator>User</dc:creator>
  <dc:description/>
  <dc:language>ru-RU</dc:language>
  <cp:lastModifiedBy/>
  <cp:lastPrinted>2021-01-15T08:35:57Z</cp:lastPrinted>
  <dcterms:modified xsi:type="dcterms:W3CDTF">2021-01-15T08:36:26Z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