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8"/>
          <w:szCs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</w:t>
      </w:r>
    </w:p>
    <w:p>
      <w:pPr>
        <w:pStyle w:val="Normal"/>
        <w:widowControl w:val="false"/>
        <w:pBdr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ПРОГРАМА підтримки</w:t>
        <w:br/>
        <w:t xml:space="preserve">комунального некомерційного підприємства «Каховська центральна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міська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лікарня Каховської  міської ради» на 2021 рік</w:t>
      </w:r>
    </w:p>
    <w:p>
      <w:pPr>
        <w:pStyle w:val="Normal"/>
        <w:widowControl w:val="false"/>
        <w:spacing w:lineRule="auto" w:line="276" w:before="0" w:after="0"/>
        <w:ind w:left="80" w:firstLine="7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left="80"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ПАСПОРТ </w:t>
      </w:r>
    </w:p>
    <w:p>
      <w:pPr>
        <w:pStyle w:val="Normal"/>
        <w:widowControl w:val="false"/>
        <w:spacing w:lineRule="auto" w:line="276" w:before="0" w:after="0"/>
        <w:ind w:left="80" w:firstLine="7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tbl>
      <w:tblPr>
        <w:tblStyle w:val="20"/>
        <w:tblW w:w="9679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400" w:noVBand="1" w:noHBand="0" w:lastColumn="0" w:firstColumn="0" w:lastRow="0" w:firstRow="0"/>
      </w:tblPr>
      <w:tblGrid>
        <w:gridCol w:w="1115"/>
        <w:gridCol w:w="3543"/>
        <w:gridCol w:w="5021"/>
      </w:tblGrid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Комунальне некомерційне підприємство «Каховська центральна міська лікарня Каховської міської  ради»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Розробник Програми</w:t>
            </w:r>
          </w:p>
        </w:tc>
        <w:tc>
          <w:tcPr>
            <w:tcW w:w="5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Комунальне некомерційне підприємство «Каховська центральна міська  лікарня Каховської міської ради»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Каховська  ТГ,  КНП  «Каховська центральна міська  лікарня Каховської міської ради»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5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Каховська ТГ, Комунальне некомерційне підприємство  «Каховська центральна міська лікарня Каховської міської ради»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2021 рік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Місцевий бюджет 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ind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730.0 тис. грн.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>
      <w:pPr>
        <w:pStyle w:val="Normal"/>
        <w:widowControl w:val="false"/>
        <w:spacing w:lineRule="auto" w:line="276" w:before="0" w:after="0"/>
        <w:ind w:left="80" w:firstLine="72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pBdr/>
        <w:spacing w:lineRule="auto" w:line="276" w:before="0" w:after="0"/>
        <w:ind w:left="80" w:firstLine="72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pBdr/>
        <w:spacing w:lineRule="auto" w:line="276" w:before="0" w:after="253"/>
        <w:ind w:firstLine="72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1. Загальна частина</w:t>
      </w:r>
    </w:p>
    <w:p>
      <w:pPr>
        <w:pStyle w:val="Normal"/>
        <w:widowControl w:val="false"/>
        <w:pBdr/>
        <w:spacing w:lineRule="auto" w:line="276" w:before="0" w:after="0"/>
        <w:ind w:right="280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Здоров’я є найважливішим з прав людини та найвищою людською цінністю, від якої залежить економічний, фізичний та духовний потенціал суспільства. Це показник соціального і культурного прогресу, один із головних елементів національного багатства. Доступність, якість, сучасність, безпека, функціональність, ефективність, ресурсна   забезпеченість та своєчасність медичної допомоги є основою для забезпечення високого рівня здоров’я та покращення якості життя населення. </w:t>
      </w:r>
    </w:p>
    <w:p>
      <w:pPr>
        <w:pStyle w:val="Normal"/>
        <w:pBdr/>
        <w:spacing w:lineRule="auto" w:line="276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За умов реформування охорони здоров’я  соціально-економічний розвиток лікарень не можливий без достатнього фінансування капітальних інвестицій, насамперед у модернізацію медичної апаратури, запровадження інноваційних і енергоощадних технологій. Капітальні інвестиції — це  вкладення капіталу  в основні засоби та нематеріальні активи. Основні фонди є найважливішим видом економічних ресурсів лікарні. Від рівня забезпеченості закладу сучасним діагностичним , лікувальним обладнанням та створення відповідних умов для їх ефективного використання залежить медична, соціальна та економічна ефективність лікувально-діагностичного процесу.    </w:t>
      </w:r>
    </w:p>
    <w:p>
      <w:pPr>
        <w:pStyle w:val="Normal"/>
        <w:widowControl w:val="false"/>
        <w:spacing w:lineRule="auto" w:line="276" w:before="0" w:after="0"/>
        <w:ind w:right="15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Розпорядженням КМ України від 15 січня 2020р. №23-р «Про затвердження переліку опорних закладів охорони здоров’я у госпітальних округах на період до 2023 року, лікарня визнана опорною у госпітальному окрузі, та була визнана однією з 240 лікарень по Україні, так названої «першої хвилі», по прийому хворих на коронавірусну хворобу. </w:t>
      </w:r>
    </w:p>
    <w:p>
      <w:pPr>
        <w:pStyle w:val="Normal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розроблена на підставі Закону України «Про місцеве</w:t>
        <w:br/>
        <w:t>самоврядування в Україні», Цивільного кодексу України, Господарського</w:t>
        <w:br/>
        <w:t>кодексу України, Бюджетного кодексу України та інших нормативно-</w:t>
        <w:br/>
        <w:t>правових актів.</w:t>
      </w:r>
    </w:p>
    <w:p>
      <w:pPr>
        <w:pStyle w:val="Normal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КНП «Каховська ЦМЛ» є самостійним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господарюючим суб’єктом із статусом комунального некомерційного підприємства, здійснює господарську некомерційну діяльність, яка не передбачає отримання прибутку та спрямовану на досягнення, збереження, зміцнення здоров’я населення. </w:t>
      </w:r>
    </w:p>
    <w:p>
      <w:pPr>
        <w:pStyle w:val="Normal"/>
        <w:widowControl w:val="false"/>
        <w:spacing w:lineRule="auto" w:line="276" w:before="0" w:after="0"/>
        <w:ind w:right="48"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Актуальність програми зумовлена необхідністю виконання умов НСЗУ,</w:t>
      </w:r>
    </w:p>
    <w:p>
      <w:pPr>
        <w:pStyle w:val="Normal"/>
        <w:widowControl w:val="false"/>
        <w:spacing w:lineRule="auto" w:line="276" w:before="0" w:after="0"/>
        <w:ind w:right="48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поліпшення якості надання медичної допомоги населенню  Каховської ТГ, поліпшення матеріально-технічної бази лікарні, забезпечення надання планової та ургентної висококваліфікованої лікувально - діагностичної допомоги дорослому і дитячому населенню .</w:t>
      </w:r>
    </w:p>
    <w:p>
      <w:pPr>
        <w:pStyle w:val="Normal"/>
        <w:widowControl w:val="false"/>
        <w:spacing w:lineRule="auto" w:line="276" w:before="0" w:after="0"/>
        <w:ind w:right="48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2. Опис проблеми, на розв’язання якої спрямована Програма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Одними із пріоритетних напрямків діяльності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Л» </w:t>
      </w:r>
      <w:r>
        <w:rPr>
          <w:rFonts w:eastAsia="Times New Roman" w:cs="Times New Roman" w:ascii="Times New Roman" w:hAnsi="Times New Roman"/>
          <w:sz w:val="28"/>
          <w:szCs w:val="28"/>
        </w:rPr>
        <w:t>є: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впровадження   ефективних медичних технологій діагностичного та  лікувального процесів, які базуються на даних з доведеною ефективністю;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оснащення лікарні сучасним обладнанням, необхідним для використання  сучасних медичних технологій;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впровадження системи безпеки пацієнтів при перебуванні в закладі ; 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підвищення рівня інформаційної підтримки процесів управління лікарнею та прийнятті лікарських рішень в клінічній практиці;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Щорічно галузь охорони здоров’я недофінансовується до потреби. Не є виключенням і КНП «Каховська ЦМЛ». Основною проблемою, на яку буде спрямована Програма - проблема фінансового характеру - нестача коштів на  оплату поточних та капітальних видатків. Дефіцит фінансового ресурсу унеможливить подальшу роботу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Л», в тому числі у звя’зку з порушеннями вимог чинного законодавства у сфері пожежної та техногенної безпеки та цивільного захисту. 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Покращення якості медичної допомоги можливо лише при впровадженні нових інноваційних методів лікування, закупівлі сучасного медичного обладнання, безпеці перебування в лікарні. Досягнення даної мети можливо лише за умови раціонального використання наявних фінансових та кадрових ресурсів, консолідації бюджетів різних рівнів для оплати послуг, які надаються  лікувальним закладом.</w:t>
      </w:r>
    </w:p>
    <w:p>
      <w:pPr>
        <w:pStyle w:val="Normal"/>
        <w:widowControl w:val="false"/>
        <w:spacing w:lineRule="auto" w:line="276" w:before="0" w:after="0"/>
        <w:ind w:firstLine="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умовах переходу на нові умови фінансування, для забезпечення повноцінного функціонування лікарні, необхідні кошти для  оплати робіт та послуг, в тому числі комунальних; придбання медичних,  господарських та інших матеріалів.</w:t>
      </w:r>
    </w:p>
    <w:p>
      <w:pPr>
        <w:pStyle w:val="Normal"/>
        <w:widowControl w:val="false"/>
        <w:spacing w:lineRule="auto" w:line="276" w:before="0" w:after="346"/>
        <w:ind w:firstLine="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Прийняття Програми фінансової підтримки створює правові засади для запровадження фінансування за рахунок додаткової фінансової підтримки за рахунок місцевих бюджетів.</w:t>
      </w:r>
    </w:p>
    <w:p>
      <w:pPr>
        <w:pStyle w:val="Normal"/>
        <w:widowControl w:val="false"/>
        <w:spacing w:lineRule="auto" w:line="259" w:before="0" w:after="193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bookmarkStart w:id="1" w:name="gjdgxs"/>
      <w:bookmarkEnd w:id="1"/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3. Мета Програми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Основною метою створення Програми є фінансове забезпечення надання у 2021 році вторинної кваліфікованої медичної допомоги населенню, в тому числі забезпечення потреб населення з обмеженою руховою діяльністю  у  спеціалізованій та кваліфікованій  медичній допомозі за профілем, відповідно до спеціалізації лікувального закладу, виконання вимог чинного законодавства у сфері пожежної та техногенної безпеки та цивільного захисту  а також реалізації державної політики в галузі охорони здоров’я.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193"/>
        <w:ind w:left="142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bookmarkStart w:id="2" w:name="30j0zll"/>
      <w:bookmarkEnd w:id="2"/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4. Основні завдання та стратегічні напрямки Програм</w:t>
      </w:r>
    </w:p>
    <w:p>
      <w:pPr>
        <w:pStyle w:val="Normal"/>
        <w:widowControl w:val="false"/>
        <w:spacing w:lineRule="auto" w:line="276" w:before="0" w:after="193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Основним завданням програми є сприяння розвитку закладу для надання доступної, якісної та безпечної кваліфікованої вторинної медичної допомоги населенню Каховського ТГ шляхом: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ефективних медичних технологій діагностичного та лікувального процесів, які базуються на даних з доведеною ефективністю;</w:t>
      </w:r>
    </w:p>
    <w:p>
      <w:pPr>
        <w:pStyle w:val="Normal"/>
        <w:widowControl w:val="false"/>
        <w:numPr>
          <w:ilvl w:val="0"/>
          <w:numId w:val="1"/>
        </w:numPr>
        <w:spacing w:lineRule="auto" w:line="276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оснащення лікарні сучасним медичним обладнанням, необхідним для використання сучасних медичних технологій;</w:t>
      </w:r>
    </w:p>
    <w:p>
      <w:pPr>
        <w:pStyle w:val="Normal"/>
        <w:widowControl w:val="false"/>
        <w:numPr>
          <w:ilvl w:val="0"/>
          <w:numId w:val="1"/>
        </w:numPr>
        <w:pBdr/>
        <w:tabs>
          <w:tab w:val="left" w:pos="913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системи безпеки пацієнтів при перебуванні в закладі охорони здоров’я;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удосконалення лікувального процесу;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укріплення та оновлення матеріально-технічної бази відповідно до табелів оснащення та умов надання послуг згідно договорів з НСЗУ;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нових інноваційних методів лікування;</w:t>
      </w:r>
    </w:p>
    <w:p>
      <w:pPr>
        <w:pStyle w:val="Normal"/>
        <w:numPr>
          <w:ilvl w:val="0"/>
          <w:numId w:val="1"/>
        </w:numPr>
        <w:pBdr/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технічне забезпечення інформаційного простору.</w:t>
      </w:r>
    </w:p>
    <w:p>
      <w:pPr>
        <w:pStyle w:val="Normal"/>
        <w:widowControl w:val="false"/>
        <w:numPr>
          <w:ilvl w:val="0"/>
          <w:numId w:val="1"/>
        </w:numPr>
        <w:pBdr/>
        <w:tabs>
          <w:tab w:val="left" w:pos="836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системи персоніфікованого електронного реєстру громадян та сучасних інформаційних технологій в діяльності;</w:t>
      </w:r>
    </w:p>
    <w:p>
      <w:pPr>
        <w:pStyle w:val="Normal"/>
        <w:widowControl w:val="false"/>
        <w:pBdr/>
        <w:tabs>
          <w:tab w:val="left" w:pos="836" w:leader="none"/>
        </w:tabs>
        <w:spacing w:lineRule="auto" w:line="276" w:before="0" w:after="0"/>
        <w:ind w:left="72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8" w:before="0" w:after="0"/>
        <w:ind w:left="210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5. Обсяг та джерела фінансування Програми</w:t>
      </w:r>
    </w:p>
    <w:p>
      <w:pPr>
        <w:pStyle w:val="Normal"/>
        <w:widowControl w:val="false"/>
        <w:spacing w:lineRule="auto" w:line="278" w:before="0" w:after="0"/>
        <w:ind w:left="210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left" w:pos="913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Фінансове забезпечення Програми здійснюється відповідно до законодавства України за рахунок коштів Каховської  ТГ. 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Кошти, отримані за результатами діяльності, використовуються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Л» на виконання запланованих заходів Програми.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Фінансова підтримка є безповоротною. Орієнтовані суми фінансової підтримки наведені в додатку 1 до Програми.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Звіт про виконання плану використання бюджетних коштів надається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Л» до Каховської ТГ. 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6.Керівництво та контроль реалізації Програми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Безпосередній контроль за виконанням програми проводить Власник 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193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6. Очікувані результати виконання Програми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Виконання Програми дасть змогу: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76" w:before="0" w:after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забезпечення вчасного , якісного та безпечного надання  медичної допомоги  населенню;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851" w:leader="none"/>
        </w:tabs>
        <w:spacing w:lineRule="auto" w:line="276" w:before="0" w:after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покращення якості надання медичних послуг;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973" w:leader="none"/>
        </w:tabs>
        <w:spacing w:lineRule="auto" w:line="276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підвищення конкурентноспроможності закладу в госпітальному окрузі;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973" w:leader="none"/>
        </w:tabs>
        <w:spacing w:lineRule="auto" w:line="276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підвищення задоволеності пацієнтів наданням послуг та перебуванням у закладі. </w:t>
      </w:r>
    </w:p>
    <w:p>
      <w:pPr>
        <w:pStyle w:val="Normal"/>
        <w:widowControl w:val="false"/>
        <w:tabs>
          <w:tab w:val="left" w:pos="973" w:leader="none"/>
        </w:tabs>
        <w:spacing w:lineRule="auto" w:line="276" w:before="0" w:after="0"/>
        <w:ind w:left="720" w:hanging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left" w:pos="973" w:leader="none"/>
        </w:tabs>
        <w:spacing w:lineRule="auto" w:line="276" w:before="0" w:after="0"/>
        <w:ind w:left="72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left" w:pos="973" w:leader="none"/>
        </w:tabs>
        <w:spacing w:lineRule="auto" w:line="276" w:before="0" w:after="0"/>
        <w:ind w:left="72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7. Прикінцеві положення</w:t>
      </w:r>
    </w:p>
    <w:p>
      <w:pPr>
        <w:pStyle w:val="Normal"/>
        <w:widowControl w:val="false"/>
        <w:spacing w:lineRule="auto" w:line="278" w:before="0" w:after="0"/>
        <w:ind w:right="20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визначає основні проблеми, мету, завдання, прогнозовані обсяги фінансового забезпечення та очікувані результати діяльності К</w:t>
      </w:r>
      <w:r>
        <w:rPr>
          <w:rFonts w:eastAsia="Times New Roman" w:cs="Times New Roman" w:ascii="Times New Roman" w:hAnsi="Times New Roman"/>
          <w:sz w:val="28"/>
          <w:szCs w:val="28"/>
        </w:rPr>
        <w:t>НП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«Каховська ЦМЛ».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має відкритий характер і може доповнюватись (змінюватись) в установленому чинним законодавством порядку в залежності від прийняття нових нормативних актів, затвердження та доповнення регіональних медичних програм, зміни потреб та фінансових можливостей громади.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розрахована до 31.12.2021р., має завдання, які направлені на виконання визначених заходів, адаптованих до рівня потреб та можливостей району.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Реалізація Програми буде здійснюватися шляхом співпраці підприємства та органів місцевого самоврядування.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21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21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21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21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21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6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Директор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Л»                                                     Мазур О.Б.</w:t>
      </w:r>
    </w:p>
    <w:p>
      <w:pPr>
        <w:pStyle w:val="Normal"/>
        <w:widowControl w:val="false"/>
        <w:spacing w:lineRule="auto" w:line="31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left" w:pos="2520" w:leader="none"/>
        </w:tabs>
        <w:spacing w:lineRule="auto" w:line="276" w:before="0" w:after="200"/>
        <w:rPr>
          <w:rFonts w:ascii="Arial" w:hAnsi="Arial" w:eastAsia="Arial" w:cs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</w:r>
    </w:p>
    <w:p>
      <w:pPr>
        <w:pStyle w:val="Normal"/>
        <w:tabs>
          <w:tab w:val="left" w:pos="2520" w:leader="none"/>
        </w:tabs>
        <w:spacing w:lineRule="auto" w:line="276" w:before="0" w:after="0"/>
        <w:ind w:left="720" w:hanging="0"/>
        <w:rPr>
          <w:rFonts w:ascii="Arial" w:hAnsi="Arial" w:eastAsia="Arial" w:cs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right="18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6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16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560"/>
        <w:rPr>
          <w:color w:val="000000"/>
        </w:rPr>
      </w:pPr>
      <w:r>
        <w:rPr>
          <w:color w:val="000000"/>
        </w:rPr>
      </w:r>
    </w:p>
    <w:sectPr>
      <w:headerReference w:type="default" r:id="rId2"/>
      <w:footerReference w:type="default" r:id="rId3"/>
      <w:type w:val="nextPage"/>
      <w:pgSz w:w="12240" w:h="15840"/>
      <w:pgMar w:left="1701" w:right="850" w:header="708" w:top="1134" w:footer="708" w:bottom="851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tabs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tabs>
        <w:tab w:val="center" w:pos="4677" w:leader="none"/>
        <w:tab w:val="right" w:pos="9355" w:leader="none"/>
      </w:tabs>
      <w:spacing w:lineRule="auto" w:line="240" w:before="0" w:after="0"/>
      <w:jc w:val="right"/>
      <w:rPr/>
    </w:pPr>
    <w:bookmarkStart w:id="3" w:name="_1fob9te"/>
    <w:bookmarkEnd w:id="3"/>
    <w:r>
      <w:rPr>
        <w:color w:val="000000"/>
      </w:rPr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  <w:p>
    <w:pPr>
      <w:pStyle w:val="Normal"/>
      <w:pBdr/>
      <w:tabs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sz w:val="28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sz w:val="28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sz w:val="22"/>
      <w:szCs w:val="22"/>
      <w:lang w:val="uk-UA" w:eastAsia="ru-RU" w:bidi="ar-SA"/>
    </w:rPr>
  </w:style>
  <w:style w:type="paragraph" w:styleId="1">
    <w:name w:val="Heading 1"/>
    <w:basedOn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link w:val="a5"/>
    <w:uiPriority w:val="99"/>
    <w:semiHidden/>
    <w:qFormat/>
    <w:rsid w:val="00664d07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Times New Roman" w:hAnsi="Times New Roman" w:eastAsia="Noto Sans Symbols" w:cs="Noto Sans Symbols"/>
      <w:sz w:val="28"/>
    </w:rPr>
  </w:style>
  <w:style w:type="character" w:styleId="ListLabel2">
    <w:name w:val="ListLabel 2"/>
    <w:qFormat/>
    <w:rPr>
      <w:rFonts w:eastAsia="Courier New" w:cs="Courier New"/>
    </w:rPr>
  </w:style>
  <w:style w:type="character" w:styleId="ListLabel3">
    <w:name w:val="ListLabel 3"/>
    <w:qFormat/>
    <w:rPr>
      <w:rFonts w:eastAsia="Noto Sans Symbols" w:cs="Noto Sans Symbols"/>
    </w:rPr>
  </w:style>
  <w:style w:type="character" w:styleId="ListLabel4">
    <w:name w:val="ListLabel 4"/>
    <w:qFormat/>
    <w:rPr>
      <w:rFonts w:eastAsia="Noto Sans Symbols" w:cs="Noto Sans Symbols"/>
    </w:rPr>
  </w:style>
  <w:style w:type="character" w:styleId="ListLabel5">
    <w:name w:val="ListLabel 5"/>
    <w:qFormat/>
    <w:rPr>
      <w:rFonts w:eastAsia="Courier New" w:cs="Courier New"/>
    </w:rPr>
  </w:style>
  <w:style w:type="character" w:styleId="ListLabel6">
    <w:name w:val="ListLabel 6"/>
    <w:qFormat/>
    <w:rPr>
      <w:rFonts w:eastAsia="Noto Sans Symbols" w:cs="Noto Sans Symbols"/>
    </w:rPr>
  </w:style>
  <w:style w:type="character" w:styleId="ListLabel7">
    <w:name w:val="ListLabel 7"/>
    <w:qFormat/>
    <w:rPr>
      <w:rFonts w:eastAsia="Noto Sans Symbols" w:cs="Noto Sans Symbols"/>
    </w:rPr>
  </w:style>
  <w:style w:type="character" w:styleId="ListLabel8">
    <w:name w:val="ListLabel 8"/>
    <w:qFormat/>
    <w:rPr>
      <w:rFonts w:eastAsia="Courier New" w:cs="Courier New"/>
    </w:rPr>
  </w:style>
  <w:style w:type="character" w:styleId="ListLabel9">
    <w:name w:val="ListLabel 9"/>
    <w:qFormat/>
    <w:rPr>
      <w:rFonts w:eastAsia="Noto Sans Symbols" w:cs="Noto Sans Symbols"/>
    </w:rPr>
  </w:style>
  <w:style w:type="character" w:styleId="ListLabel10">
    <w:name w:val="ListLabel 10"/>
    <w:qFormat/>
    <w:rPr>
      <w:rFonts w:ascii="Times New Roman" w:hAnsi="Times New Roman" w:eastAsia="Noto Sans Symbols" w:cs="Noto Sans Symbols"/>
      <w:sz w:val="28"/>
    </w:rPr>
  </w:style>
  <w:style w:type="character" w:styleId="ListLabel11">
    <w:name w:val="ListLabel 11"/>
    <w:qFormat/>
    <w:rPr>
      <w:rFonts w:eastAsia="Courier New" w:cs="Courier New"/>
    </w:rPr>
  </w:style>
  <w:style w:type="character" w:styleId="ListLabel12">
    <w:name w:val="ListLabel 12"/>
    <w:qFormat/>
    <w:rPr>
      <w:rFonts w:eastAsia="Noto Sans Symbols" w:cs="Noto Sans Symbols"/>
    </w:rPr>
  </w:style>
  <w:style w:type="character" w:styleId="ListLabel13">
    <w:name w:val="ListLabel 13"/>
    <w:qFormat/>
    <w:rPr>
      <w:rFonts w:eastAsia="Noto Sans Symbols" w:cs="Noto Sans Symbols"/>
    </w:rPr>
  </w:style>
  <w:style w:type="character" w:styleId="ListLabel14">
    <w:name w:val="ListLabel 14"/>
    <w:qFormat/>
    <w:rPr>
      <w:rFonts w:eastAsia="Courier New" w:cs="Courier New"/>
    </w:rPr>
  </w:style>
  <w:style w:type="character" w:styleId="ListLabel15">
    <w:name w:val="ListLabel 15"/>
    <w:qFormat/>
    <w:rPr>
      <w:rFonts w:eastAsia="Noto Sans Symbols" w:cs="Noto Sans Symbols"/>
    </w:rPr>
  </w:style>
  <w:style w:type="character" w:styleId="ListLabel16">
    <w:name w:val="ListLabel 16"/>
    <w:qFormat/>
    <w:rPr>
      <w:rFonts w:eastAsia="Noto Sans Symbols" w:cs="Noto Sans Symbols"/>
    </w:rPr>
  </w:style>
  <w:style w:type="character" w:styleId="ListLabel17">
    <w:name w:val="ListLabel 17"/>
    <w:qFormat/>
    <w:rPr>
      <w:rFonts w:eastAsia="Courier New" w:cs="Courier New"/>
    </w:rPr>
  </w:style>
  <w:style w:type="character" w:styleId="ListLabel18">
    <w:name w:val="ListLabel 18"/>
    <w:qFormat/>
    <w:rPr>
      <w:rFonts w:eastAsia="Noto Sans Symbols" w:cs="Noto Sans Symbols"/>
    </w:rPr>
  </w:style>
  <w:style w:type="paragraph" w:styleId="Style9">
    <w:name w:val="Заголовок"/>
    <w:basedOn w:val="Normal"/>
    <w:next w:val="Style10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0">
    <w:name w:val="Body Text"/>
    <w:basedOn w:val="Normal"/>
    <w:pPr>
      <w:spacing w:lineRule="auto" w:line="288" w:before="0" w:after="140"/>
    </w:pPr>
    <w:rPr/>
  </w:style>
  <w:style w:type="paragraph" w:styleId="Style11">
    <w:name w:val="List"/>
    <w:basedOn w:val="Style10"/>
    <w:pPr/>
    <w:rPr>
      <w:rFonts w:cs="Free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FreeSans"/>
    </w:rPr>
  </w:style>
  <w:style w:type="paragraph" w:styleId="Style14">
    <w:name w:val="Title"/>
    <w:basedOn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yle15">
    <w:name w:val="Subtitle"/>
    <w:basedOn w:val="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664d0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6">
    <w:name w:val="Header"/>
    <w:basedOn w:val="Normal"/>
    <w:pPr/>
    <w:rPr/>
  </w:style>
  <w:style w:type="paragraph" w:styleId="Style17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LibreOffice/5.1.6.2$Linux_x86 LibreOffice_project/10m0$Build-2</Application>
  <Pages>5</Pages>
  <Words>968</Words>
  <Characters>7075</Characters>
  <CharactersWithSpaces>8328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2021-02-23T05:58:00Z</dcterms:created>
  <dc:creator>Пользователь Windows</dc:creator>
  <dc:description/>
  <dc:language>ru-RU</dc:language>
  <cp:lastModifiedBy/>
  <cp:lastPrinted>2021-02-22T14:46:00Z</cp:lastPrinted>
  <dcterms:modified xsi:type="dcterms:W3CDTF">2021-02-23T11:17:16Z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