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1"/>
        </w:numPr>
        <w:jc w:val="center"/>
        <w:rPr/>
      </w:pPr>
      <w:r>
        <w:rPr>
          <w:rFonts w:eastAsia="Liberation Serif;Times New Roman" w:cs="Liberation Serif;Times New Roman"/>
        </w:rPr>
        <w:t xml:space="preserve">  </w:t>
      </w:r>
      <w:r>
        <w:rPr>
          <w:rFonts w:eastAsia="Liberation Serif;Times New Roman" w:cs="Liberation Serif;Times New Roman"/>
        </w:rPr>
        <w:drawing>
          <wp:inline distT="0" distB="0" distL="0" distR="0">
            <wp:extent cx="531495" cy="671830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jc w:val="center"/>
        <w:rPr/>
      </w:pPr>
      <w:r>
        <w:rPr>
          <w:b/>
        </w:rPr>
        <w:t>КАХОВСЬКА  МІСЬКА  РАДА</w:t>
      </w:r>
    </w:p>
    <w:p>
      <w:pPr>
        <w:pStyle w:val="3"/>
        <w:widowControl w:val="false"/>
        <w:numPr>
          <w:ilvl w:val="0"/>
          <w:numId w:val="1"/>
        </w:numPr>
        <w:suppressAutoHyphens w:val="true"/>
        <w:bidi w:val="0"/>
        <w:jc w:val="center"/>
        <w:rPr/>
      </w:pPr>
      <w:r>
        <w:rPr>
          <w:rFonts w:eastAsia="Times New Roman" w:cs="Times New Roman" w:ascii="Times New Roman" w:hAnsi="Times New Roman"/>
          <w:color w:val="000000"/>
          <w:szCs w:val="20"/>
          <w:lang w:val="ru-RU"/>
        </w:rPr>
        <w:t>ХЕРСОНСЬКОЇ  ОБЛАСТІ</w:t>
      </w:r>
    </w:p>
    <w:p>
      <w:pPr>
        <w:pStyle w:val="Normal"/>
        <w:keepNext/>
        <w:widowControl w:val="false"/>
        <w:numPr>
          <w:ilvl w:val="2"/>
          <w:numId w:val="1"/>
        </w:numPr>
        <w:tabs>
          <w:tab w:val="left" w:pos="1152" w:leader="none"/>
        </w:tabs>
        <w:jc w:val="center"/>
        <w:rPr/>
      </w:pPr>
      <w:r>
        <w:rPr>
          <w:rFonts w:eastAsia="Droid Sans Fallback;Arial Unicode MS"/>
          <w:b/>
          <w:bCs/>
          <w:iCs/>
        </w:rPr>
        <w:t>ВИКОНАВЧИЙ  КОМІТЕТ</w:t>
      </w:r>
    </w:p>
    <w:p>
      <w:pPr>
        <w:pStyle w:val="Normal"/>
        <w:widowControl w:val="false"/>
        <w:numPr>
          <w:ilvl w:val="0"/>
          <w:numId w:val="1"/>
        </w:numPr>
        <w:jc w:val="center"/>
        <w:rPr>
          <w:rFonts w:eastAsia="Droid Sans Fallback;Arial Unicode MS" w:cs="Liberation Serif;Times New Roman"/>
          <w:b/>
          <w:b/>
          <w:bCs/>
          <w:i/>
          <w:i/>
          <w:iCs/>
          <w:sz w:val="16"/>
        </w:rPr>
      </w:pPr>
      <w:r>
        <w:rPr>
          <w:rFonts w:eastAsia="Droid Sans Fallback;Arial Unicode MS" w:cs="Liberation Serif;Times New Roman"/>
          <w:b/>
          <w:bCs/>
          <w:i/>
          <w:iCs/>
          <w:sz w:val="16"/>
        </w:rPr>
      </w:r>
    </w:p>
    <w:p>
      <w:pPr>
        <w:pStyle w:val="Normal"/>
        <w:keepNext/>
        <w:widowControl w:val="false"/>
        <w:numPr>
          <w:ilvl w:val="0"/>
          <w:numId w:val="1"/>
        </w:numPr>
        <w:tabs>
          <w:tab w:val="left" w:pos="432" w:leader="none"/>
        </w:tabs>
        <w:jc w:val="center"/>
        <w:rPr/>
      </w:pPr>
      <w:r>
        <w:rPr>
          <w:rFonts w:eastAsia="Times New Roman" w:cs="Liberation Serif;Times New Roman"/>
          <w:b/>
          <w:color w:val="000000"/>
          <w:sz w:val="32"/>
          <w:szCs w:val="20"/>
          <w:lang w:val="ru-RU"/>
        </w:rPr>
        <w:t>РІШЕННЯ</w:t>
      </w:r>
    </w:p>
    <w:p>
      <w:pPr>
        <w:pStyle w:val="Normal"/>
        <w:widowControl w:val="false"/>
        <w:numPr>
          <w:ilvl w:val="0"/>
          <w:numId w:val="1"/>
        </w:numPr>
        <w:jc w:val="center"/>
        <w:rPr>
          <w:rFonts w:ascii="Antiqua;Corbel" w:hAnsi="Antiqua;Corbel" w:eastAsia="Lucida Sans Unicode" w:cs="Antiqua;Corbel"/>
          <w:b/>
          <w:b/>
          <w:color w:val="000000"/>
          <w:spacing w:val="140"/>
          <w:sz w:val="32"/>
          <w:lang w:val="ru-RU"/>
        </w:rPr>
      </w:pPr>
      <w:r>
        <w:rPr>
          <w:rFonts w:eastAsia="Lucida Sans Unicode" w:cs="Antiqua;Corbel" w:ascii="Antiqua;Corbel" w:hAnsi="Antiqua;Corbel"/>
          <w:b/>
          <w:color w:val="000000"/>
          <w:spacing w:val="140"/>
          <w:sz w:val="32"/>
          <w:lang w:val="ru-RU"/>
        </w:rPr>
      </w:r>
    </w:p>
    <w:tbl>
      <w:tblPr>
        <w:tblW w:w="9287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left" w:pos="4680" w:leader="none"/>
                <w:tab w:val="left" w:pos="6804" w:leader="none"/>
              </w:tabs>
              <w:snapToGrid w:val="false"/>
              <w:rPr>
                <w:rFonts w:eastAsia="Liberation Serif;Times New Roman" w:cs="Liberation Serif;Times New Roman"/>
                <w:u w:val="single"/>
              </w:rPr>
            </w:pPr>
            <w:r>
              <w:rPr>
                <w:rFonts w:eastAsia="Liberation Serif;Times New Roman" w:cs="Liberation Serif;Times New Roman"/>
                <w:u w:val="single"/>
              </w:rPr>
              <w:t>16.03.2021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left" w:pos="4680" w:leader="none"/>
                <w:tab w:val="left" w:pos="6804" w:leader="none"/>
              </w:tabs>
              <w:jc w:val="center"/>
              <w:rPr/>
            </w:pPr>
            <w:r>
              <w:rPr>
                <w:rFonts w:eastAsia="Lucida Sans Unicode" w:cs="Liberation Serif;Times New Roman"/>
                <w:sz w:val="26"/>
                <w:szCs w:val="26"/>
              </w:rPr>
              <w:t>м. Каховка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left" w:pos="4680" w:leader="none"/>
                <w:tab w:val="left" w:pos="6804" w:leader="none"/>
              </w:tabs>
              <w:jc w:val="center"/>
              <w:rPr/>
            </w:pPr>
            <w:r>
              <w:rPr>
                <w:rFonts w:eastAsia="Liberation Serif;Times New Roman" w:cs="Liberation Serif;Times New Roman"/>
                <w:sz w:val="26"/>
                <w:szCs w:val="26"/>
              </w:rPr>
              <w:t xml:space="preserve">№ </w:t>
            </w:r>
            <w:r>
              <w:rPr>
                <w:rFonts w:eastAsia="Liberation Serif;Times New Roman" w:cs="Liberation Serif;Times New Roman"/>
                <w:sz w:val="26"/>
                <w:szCs w:val="26"/>
              </w:rPr>
              <w:t>84</w:t>
            </w:r>
          </w:p>
        </w:tc>
      </w:tr>
    </w:tbl>
    <w:p>
      <w:pPr>
        <w:pStyle w:val="Normal"/>
        <w:widowControl w:val="false"/>
        <w:numPr>
          <w:ilvl w:val="0"/>
          <w:numId w:val="1"/>
        </w:numPr>
        <w:jc w:val="center"/>
        <w:rPr>
          <w:rFonts w:eastAsia="Liberation Serif;Times New Roman" w:cs="Liberation Serif;Times New Roman"/>
        </w:rPr>
      </w:pPr>
      <w:r>
        <w:rPr>
          <w:rFonts w:eastAsia="Liberation Serif;Times New Roman" w:cs="Liberation Serif;Times New Roman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 w:eastAsia="ru-RU"/>
        </w:rPr>
        <w:t>Про внесення</w:t>
      </w:r>
      <w:r>
        <w:rPr>
          <w:rFonts w:cs="Times New Roman" w:ascii="Times New Roman" w:hAnsi="Times New Roman"/>
          <w:bCs/>
          <w:sz w:val="26"/>
          <w:szCs w:val="26"/>
          <w:highlight w:val="white"/>
          <w:lang w:val="uk-UA" w:eastAsia="ru-RU"/>
        </w:rPr>
        <w:t xml:space="preserve"> змін та доповнень до рішен</w:t>
      </w:r>
      <w:r>
        <w:rPr>
          <w:rFonts w:cs="Times New Roman" w:ascii="Times New Roman" w:hAnsi="Times New Roman"/>
          <w:bCs/>
          <w:sz w:val="26"/>
          <w:szCs w:val="26"/>
          <w:lang w:val="uk-UA" w:eastAsia="ru-RU"/>
        </w:rPr>
        <w:t xml:space="preserve">ня міської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  <w:lang w:val="uk-UA" w:eastAsia="ru-RU"/>
        </w:rPr>
        <w:t>ради від 24.12.2020 року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uk-UA" w:eastAsia="ru-RU"/>
        </w:rPr>
        <w:t xml:space="preserve">№ </w:t>
      </w:r>
      <w:r>
        <w:rPr>
          <w:rFonts w:eastAsia="Times New Roman" w:cs="Times New Roman" w:ascii="Times New Roman" w:hAnsi="Times New Roman"/>
          <w:bCs/>
          <w:sz w:val="26"/>
          <w:szCs w:val="26"/>
          <w:highlight w:val="white"/>
          <w:u w:val="none"/>
          <w:lang w:val="uk-UA" w:eastAsia="ru-RU"/>
        </w:rPr>
        <w:t>115/4</w:t>
      </w:r>
      <w:r>
        <w:rPr>
          <w:rFonts w:cs="Times New Roman" w:ascii="Times New Roman" w:hAnsi="Times New Roman"/>
          <w:bCs/>
          <w:sz w:val="26"/>
          <w:szCs w:val="26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6"/>
          <w:szCs w:val="26"/>
          <w:lang w:val="uk-UA" w:eastAsia="ru-RU"/>
        </w:rPr>
        <w:t xml:space="preserve">«Про програму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val="uk-UA" w:eastAsia="ru-RU"/>
        </w:rPr>
        <w:t xml:space="preserve">економічного, 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соціального та культурного розвитку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Каховської територіальної громади на </w:t>
      </w:r>
      <w:r>
        <w:rPr>
          <w:rFonts w:eastAsia="Times New Roman" w:cs="Times New Roman" w:ascii="Times New Roman" w:hAnsi="Times New Roman"/>
          <w:bCs/>
          <w:sz w:val="26"/>
          <w:szCs w:val="26"/>
          <w:lang w:val="uk-UA" w:eastAsia="ru-RU"/>
        </w:rPr>
        <w:t>2021 рік</w:t>
      </w:r>
      <w:r>
        <w:rPr>
          <w:rFonts w:cs="Times New Roman" w:ascii="Times New Roman" w:hAnsi="Times New Roman"/>
          <w:bCs/>
          <w:sz w:val="26"/>
          <w:szCs w:val="26"/>
          <w:lang w:val="uk-UA" w:eastAsia="ru-RU"/>
        </w:rPr>
        <w:t>»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6"/>
          <w:szCs w:val="26"/>
          <w:lang w:val="uk-UA"/>
        </w:rPr>
        <w:tab/>
      </w:r>
      <w:r>
        <w:rPr>
          <w:rFonts w:eastAsia="Batang" w:cs="Times New Roman" w:ascii="Times New Roman" w:hAnsi="Times New Roman"/>
          <w:bCs/>
          <w:sz w:val="26"/>
          <w:szCs w:val="26"/>
          <w:lang w:val="uk-UA" w:eastAsia="ru-RU" w:bidi="ar-SA"/>
        </w:rPr>
        <w:t>З метою вирішення невідкладних питань соціального розвитку міста, керуючись статтею 27 Закону України «Про місцеве самоврядування в Україні», міська рада</w:t>
      </w:r>
    </w:p>
    <w:p>
      <w:pPr>
        <w:pStyle w:val="Normal"/>
        <w:jc w:val="center"/>
        <w:rPr/>
      </w:pPr>
      <w:r>
        <w:rPr>
          <w:rFonts w:ascii="Times New Roman" w:hAnsi="Times New Roman"/>
          <w:sz w:val="26"/>
          <w:szCs w:val="26"/>
        </w:rPr>
        <w:t>ВИРІШИВ:</w:t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  <w:lang w:val="uk-UA" w:eastAsia="ru-RU"/>
        </w:rPr>
        <w:tab/>
        <w:t>1. Внести</w:t>
      </w:r>
      <w:r>
        <w:rPr>
          <w:rFonts w:cs="Times New Roman" w:ascii="Times New Roman" w:hAnsi="Times New Roman"/>
          <w:bCs/>
          <w:sz w:val="26"/>
          <w:szCs w:val="26"/>
          <w:highlight w:val="white"/>
          <w:lang w:val="uk-UA" w:eastAsia="ru-RU"/>
        </w:rPr>
        <w:t xml:space="preserve"> зміни та доповнення </w:t>
      </w:r>
      <w:r>
        <w:rPr>
          <w:rFonts w:cs="Times New Roman" w:ascii="Times New Roman" w:hAnsi="Times New Roman"/>
          <w:bCs/>
          <w:sz w:val="26"/>
          <w:szCs w:val="26"/>
          <w:lang w:val="uk-UA" w:eastAsia="ru-RU"/>
        </w:rPr>
        <w:t xml:space="preserve">до Програми економічного, 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соціального та культурного розвитку Каховської територіальної громади на </w:t>
      </w:r>
      <w:r>
        <w:rPr>
          <w:rFonts w:cs="Times New Roman" w:ascii="Times New Roman" w:hAnsi="Times New Roman"/>
          <w:bCs/>
          <w:sz w:val="26"/>
          <w:szCs w:val="26"/>
          <w:lang w:val="uk-UA" w:eastAsia="ru-RU"/>
        </w:rPr>
        <w:t>2021 рік (далі - Програма), затвердженої рішенням 4 сесії VIIІ скликання Каховської міської ради від 24.12.2020 року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uk-UA" w:eastAsia="ru-RU"/>
        </w:rPr>
        <w:t xml:space="preserve">№ </w:t>
      </w:r>
      <w:r>
        <w:rPr>
          <w:rFonts w:eastAsia="Times New Roman" w:cs="Times New Roman" w:ascii="Times New Roman" w:hAnsi="Times New Roman"/>
          <w:bCs/>
          <w:sz w:val="26"/>
          <w:szCs w:val="26"/>
          <w:highlight w:val="white"/>
          <w:u w:val="none"/>
          <w:lang w:val="uk-UA" w:eastAsia="ru-RU"/>
        </w:rPr>
        <w:t>115/4</w:t>
      </w:r>
      <w:r>
        <w:rPr>
          <w:rFonts w:cs="Times New Roman" w:ascii="Times New Roman" w:hAnsi="Times New Roman"/>
          <w:bCs/>
          <w:sz w:val="26"/>
          <w:szCs w:val="26"/>
          <w:lang w:val="uk-UA" w:eastAsia="ru-RU"/>
        </w:rPr>
        <w:t>, а саме:</w:t>
      </w:r>
    </w:p>
    <w:p>
      <w:pPr>
        <w:pStyle w:val="Normal"/>
        <w:jc w:val="both"/>
        <w:rPr>
          <w:rFonts w:ascii="Times New Roman" w:hAnsi="Times New Roman" w:cs="Times New Roman"/>
          <w:bCs/>
          <w:sz w:val="26"/>
          <w:szCs w:val="26"/>
          <w:lang w:val="uk-UA" w:eastAsia="ru-RU"/>
        </w:rPr>
      </w:pPr>
      <w:r>
        <w:rPr>
          <w:rFonts w:cs="Times New Roman" w:ascii="Times New Roman" w:hAnsi="Times New Roman"/>
          <w:bCs/>
          <w:sz w:val="26"/>
          <w:szCs w:val="26"/>
          <w:lang w:val="uk-UA" w:eastAsia="ru-RU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uk-UA" w:bidi="ar-SA"/>
        </w:rPr>
        <w:tab/>
        <w:t>1)</w:t>
      </w:r>
      <w:r>
        <w:rPr>
          <w:rFonts w:cs="Times New Roman" w:ascii="Times New Roman" w:hAnsi="Times New Roman"/>
          <w:sz w:val="26"/>
          <w:szCs w:val="26"/>
          <w:highlight w:val="white"/>
          <w:lang w:val="uk-UA"/>
        </w:rPr>
        <w:t xml:space="preserve"> </w:t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uk-UA" w:bidi="ar-SA"/>
        </w:rPr>
        <w:t xml:space="preserve">доповнити додаток 4 Заходів, затверджених рішенням 4 сесії VІІІ скликання Каховської міської ради </w:t>
      </w:r>
      <w:r>
        <w:rPr>
          <w:rFonts w:eastAsia="Times New Roman" w:cs="Times New Roman" w:ascii="Times New Roman" w:hAnsi="Times New Roman"/>
          <w:bCs/>
          <w:sz w:val="26"/>
          <w:szCs w:val="26"/>
          <w:highlight w:val="white"/>
          <w:u w:val="none"/>
          <w:lang w:val="uk-UA" w:eastAsia="ru-RU" w:bidi="ar-SA"/>
        </w:rPr>
        <w:t>від 24.12.2020 року№ 115/4</w:t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uk-UA" w:bidi="ar-SA"/>
        </w:rPr>
        <w:t xml:space="preserve"> наступними пунктами та змістом:</w:t>
      </w:r>
    </w:p>
    <w:p>
      <w:pPr>
        <w:pStyle w:val="Normal"/>
        <w:jc w:val="both"/>
        <w:rPr>
          <w:rFonts w:ascii="Times New Roman" w:hAnsi="Times New Roman" w:eastAsia="Batang" w:cs="Times New Roman"/>
          <w:bCs/>
          <w:sz w:val="26"/>
          <w:szCs w:val="26"/>
          <w:highlight w:val="white"/>
          <w:lang w:val="uk-UA" w:bidi="ar-SA"/>
        </w:rPr>
      </w:pPr>
      <w:r>
        <w:rPr>
          <w:rFonts w:eastAsia="Batang" w:cs="Times New Roman" w:ascii="Times New Roman" w:hAnsi="Times New Roman"/>
          <w:bCs/>
          <w:sz w:val="26"/>
          <w:szCs w:val="26"/>
          <w:highlight w:val="white"/>
          <w:lang w:val="uk-UA" w:bidi="ar-SA"/>
        </w:rPr>
      </w:r>
    </w:p>
    <w:tbl>
      <w:tblPr>
        <w:tblW w:w="9690" w:type="dxa"/>
        <w:jc w:val="left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625"/>
        <w:gridCol w:w="7563"/>
        <w:gridCol w:w="1502"/>
      </w:tblGrid>
      <w:tr>
        <w:trPr/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7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Зміст заходу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Сума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коштів,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тис.грн.</w:t>
            </w:r>
          </w:p>
        </w:tc>
      </w:tr>
      <w:tr>
        <w:trPr>
          <w:trHeight w:val="400" w:hRule="atLeast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>
        <w:trPr>
          <w:trHeight w:val="397" w:hRule="atLeast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7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дбання комп'ютерної техніки для виконавчого комітету Каховської міської ради (системний блок — 7 шт.; багатофункціональний пристрій — 5 шт.; </w:t>
            </w: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  <w:highlight w:val="white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оноблок — 3 шт.)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162,0</w:t>
            </w:r>
          </w:p>
        </w:tc>
      </w:tr>
      <w:tr>
        <w:trPr>
          <w:trHeight w:val="397" w:hRule="atLeast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7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6"/>
                <w:szCs w:val="26"/>
                <w:highlight w:val="white"/>
                <w:u w:val="none"/>
                <w:em w:val="none"/>
                <w:lang w:val="uk-UA" w:eastAsia="zh-CN" w:bidi="ar-SA"/>
              </w:rPr>
              <w:t>Розробка проектно-кошторисної документації “Капітальний ремонт частини приміщень загальною площею - 189,8 м.кв.” (Центр надання адміністративних послуг Каховської міської ради)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49,892</w:t>
            </w:r>
          </w:p>
        </w:tc>
      </w:tr>
      <w:tr>
        <w:trPr>
          <w:trHeight w:val="397" w:hRule="atLeast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7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6"/>
                <w:szCs w:val="26"/>
                <w:highlight w:val="white"/>
                <w:u w:val="none"/>
                <w:em w:val="none"/>
                <w:lang w:val="uk-UA" w:eastAsia="zh-CN" w:bidi="ar-SA"/>
              </w:rPr>
              <w:t>Реалізація заходів програми розвитку та фінансової підтримки КНП “Каховський міський центр первинної медико-санітарної допомоги Каховської міської ради” на 2021 рік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200,0</w:t>
            </w:r>
          </w:p>
        </w:tc>
      </w:tr>
      <w:tr>
        <w:trPr>
          <w:trHeight w:val="444" w:hRule="atLeast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7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6"/>
                <w:szCs w:val="26"/>
                <w:highlight w:val="white"/>
                <w:u w:val="none"/>
                <w:em w:val="none"/>
                <w:lang w:val="uk-UA" w:eastAsia="zh-CN" w:bidi="ar-SA"/>
              </w:rPr>
              <w:t>Коригування проектно-кошторисної документації по об'єкту “Реконструкція спортивного залу спортивного комбінату “Олімпійський” за адресою: м. Каховка, пл. Меліораторів, 4” з включенням кошторисної документації таких об'єктів: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6"/>
                <w:szCs w:val="26"/>
                <w:highlight w:val="white"/>
                <w:u w:val="none"/>
                <w:em w:val="none"/>
                <w:lang w:val="uk-UA" w:eastAsia="zh-CN" w:bidi="ar-SA"/>
              </w:rPr>
              <w:t xml:space="preserve">- “Реконструкція системи опалення з обладнанням дахової котельної спортивного залу (будівлі спорткомплексу) спортивного комбінату “Олімпійський” </w:t>
            </w:r>
            <w:bookmarkStart w:id="0" w:name="__DdeLink__318_1428710428"/>
            <w:bookmarkEnd w:id="0"/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6"/>
                <w:szCs w:val="26"/>
                <w:highlight w:val="white"/>
                <w:u w:val="none"/>
                <w:em w:val="none"/>
                <w:lang w:val="uk-UA" w:eastAsia="zh-CN" w:bidi="ar-SA"/>
              </w:rPr>
              <w:t>за адресою: м. Каховка, пл. Меліораторів, 4”;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6"/>
                <w:szCs w:val="26"/>
                <w:highlight w:val="white"/>
                <w:u w:val="none"/>
                <w:em w:val="none"/>
                <w:lang w:val="uk-UA" w:eastAsia="zh-CN" w:bidi="ar-SA"/>
              </w:rPr>
              <w:t>- “Реконструкція спортивного (мініфутбольного) майданчика з облаштуванням штучного покриття на с/к “Олімпійський” за адресою: м. Каховка, пл. Меліораторів, 4”;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6"/>
                <w:szCs w:val="26"/>
                <w:highlight w:val="white"/>
                <w:u w:val="none"/>
                <w:em w:val="none"/>
                <w:lang w:val="uk-UA" w:eastAsia="zh-CN" w:bidi="ar-SA"/>
              </w:rPr>
              <w:t>- “Реконструкція тенісних кортів з облаштуванням синтетичного покриття на с/к “Олімпійський” за адресою: м. Каховка, пл. Меліораторів, 4”. (Відділ у справах молоді та спорту Каховської міської ради)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199,0</w:t>
            </w:r>
          </w:p>
        </w:tc>
      </w:tr>
      <w:tr>
        <w:trPr>
          <w:trHeight w:val="444" w:hRule="atLeast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7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6"/>
                <w:szCs w:val="26"/>
                <w:highlight w:val="white"/>
                <w:u w:val="none"/>
                <w:em w:val="none"/>
                <w:lang w:val="uk-UA" w:eastAsia="zh-CN" w:bidi="ar-SA"/>
              </w:rPr>
              <w:t>Капітальний ремонт туалетів (Комунальне некомерційне підприємство “Каховська центральна міська лікарня”)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180,0</w:t>
            </w:r>
          </w:p>
        </w:tc>
      </w:tr>
      <w:tr>
        <w:trPr>
          <w:trHeight w:val="444" w:hRule="atLeast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7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Залишки коштів субвенції з державного бюджету на покращення матеріально-технічної бази Управління освіти Каховської міської ради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(Засоби коре</w:t>
            </w:r>
            <w:r>
              <w:rPr>
                <w:rFonts w:ascii="Times New Roman" w:hAnsi="Times New Roman"/>
                <w:sz w:val="26"/>
                <w:szCs w:val="26"/>
              </w:rPr>
              <w:t>кції для Каховського міського інклюзивно-ресурсного центру Каховської міської ради)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68,409</w:t>
            </w:r>
          </w:p>
        </w:tc>
      </w:tr>
    </w:tbl>
    <w:p>
      <w:pPr>
        <w:pStyle w:val="Normal"/>
        <w:jc w:val="both"/>
        <w:rPr>
          <w:rFonts w:eastAsia="Batang" w:cs="Times New Roman"/>
          <w:bCs/>
          <w:lang w:val="ru-RU" w:bidi="ar-SA"/>
        </w:rPr>
      </w:pPr>
      <w:r>
        <w:rPr>
          <w:rFonts w:eastAsia="Batang" w:cs="Times New Roman"/>
          <w:bCs/>
          <w:lang w:val="ru-RU" w:bidi="ar-S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eastAsia="Batang" w:cs="Times New Roman" w:ascii="Times New Roman" w:hAnsi="Times New Roman"/>
          <w:bCs/>
          <w:sz w:val="26"/>
          <w:szCs w:val="26"/>
          <w:lang w:val="ru-RU" w:bidi="ar-SA"/>
        </w:rPr>
        <w:tab/>
        <w:t>2) внести зміни до пу</w:t>
      </w:r>
      <w:r>
        <w:rPr>
          <w:rFonts w:eastAsia="Batang" w:cs="Times New Roman" w:ascii="Times New Roman" w:hAnsi="Times New Roman"/>
          <w:bCs/>
          <w:sz w:val="26"/>
          <w:szCs w:val="26"/>
          <w:shd w:fill="FFFFFF" w:val="clear"/>
          <w:lang w:val="ru-RU" w:bidi="ar-SA"/>
        </w:rPr>
        <w:t>нкт</w:t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shd w:fill="FFFFFF" w:val="clear"/>
          <w:lang w:val="ru-RU" w:bidi="ar-SA"/>
        </w:rPr>
        <w:t>у</w:t>
      </w:r>
      <w:r>
        <w:rPr>
          <w:rFonts w:eastAsia="Batang" w:cs="Times New Roman" w:ascii="Times New Roman" w:hAnsi="Times New Roman"/>
          <w:bCs/>
          <w:sz w:val="26"/>
          <w:szCs w:val="26"/>
          <w:shd w:fill="FFFFFF" w:val="clear"/>
          <w:lang w:val="ru-RU" w:bidi="ar-SA"/>
        </w:rPr>
        <w:t xml:space="preserve"> </w:t>
      </w:r>
      <w:r>
        <w:rPr>
          <w:rFonts w:eastAsia="Batang" w:cs="Times New Roman" w:ascii="Times New Roman" w:hAnsi="Times New Roman"/>
          <w:bCs/>
          <w:sz w:val="26"/>
          <w:szCs w:val="26"/>
          <w:lang w:val="ru-RU" w:bidi="ar-SA"/>
        </w:rPr>
        <w:t xml:space="preserve">додатку 4 Заходів, затверджених рішенням </w:t>
      </w:r>
      <w:r>
        <w:rPr>
          <w:rFonts w:eastAsia="Batang" w:cs="Times New Roman" w:ascii="Times New Roman" w:hAnsi="Times New Roman"/>
          <w:bCs/>
          <w:sz w:val="26"/>
          <w:szCs w:val="26"/>
          <w:highlight w:val="white"/>
          <w:u w:val="none"/>
          <w:lang w:val="uk-UA" w:eastAsia="ru-RU" w:bidi="ar-SA"/>
        </w:rPr>
        <w:t xml:space="preserve">4 сесії VІІІ скликання Каховської міської ради </w:t>
      </w:r>
      <w:r>
        <w:rPr>
          <w:rFonts w:eastAsia="Times New Roman" w:cs="Times New Roman" w:ascii="Times New Roman" w:hAnsi="Times New Roman"/>
          <w:bCs/>
          <w:sz w:val="26"/>
          <w:szCs w:val="26"/>
          <w:highlight w:val="white"/>
          <w:u w:val="none"/>
          <w:lang w:val="uk-UA" w:eastAsia="ru-RU" w:bidi="ar-SA"/>
        </w:rPr>
        <w:t>від 24.12.2020 року№ 115/4</w:t>
      </w:r>
      <w:r>
        <w:rPr>
          <w:rFonts w:eastAsia="Batang" w:cs="Times New Roman" w:ascii="Times New Roman" w:hAnsi="Times New Roman"/>
          <w:bCs/>
          <w:sz w:val="26"/>
          <w:szCs w:val="26"/>
          <w:lang w:val="ru-RU" w:bidi="ar-SA"/>
        </w:rPr>
        <w:t>, а саме викласти у наступній редакції:</w:t>
      </w:r>
    </w:p>
    <w:tbl>
      <w:tblPr>
        <w:tblW w:w="9690" w:type="dxa"/>
        <w:jc w:val="left"/>
        <w:tblInd w:w="-8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641"/>
        <w:gridCol w:w="7547"/>
        <w:gridCol w:w="1502"/>
      </w:tblGrid>
      <w:tr>
        <w:trPr/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7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Зміст заходу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Сума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коштів,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тис.грн.</w:t>
            </w:r>
          </w:p>
        </w:tc>
      </w:tr>
      <w:tr>
        <w:trPr>
          <w:trHeight w:val="400" w:hRule="atLeast"/>
        </w:trPr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>
        <w:trPr>
          <w:trHeight w:val="397" w:hRule="atLeast"/>
        </w:trPr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Реконструкція вул. Набережної в м. Каховка Херсонської області</w:t>
            </w:r>
          </w:p>
        </w:tc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6000,0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val="ru-RU" w:bidi="ar-SA"/>
        </w:rPr>
        <w:tab/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eastAsia="Batang;바탕" w:cs="Times New Roman" w:ascii="Times New Roman" w:hAnsi="Times New Roman"/>
          <w:bCs/>
          <w:sz w:val="26"/>
          <w:szCs w:val="26"/>
          <w:lang w:val="ru-RU" w:bidi="ar-SA"/>
        </w:rPr>
        <w:tab/>
        <w:t xml:space="preserve">3) внести зміни та доповнення в Розділи додатку 5 Програми, </w:t>
      </w:r>
      <w:r>
        <w:rPr>
          <w:rFonts w:eastAsia="Batang;바탕" w:cs="Times New Roman" w:ascii="Times New Roman" w:hAnsi="Times New Roman"/>
          <w:bCs/>
          <w:sz w:val="26"/>
          <w:szCs w:val="26"/>
          <w:highlight w:val="white"/>
          <w:lang w:val="ru-RU" w:bidi="ar-SA"/>
        </w:rPr>
        <w:t>а саме викласти у наступній редакції:</w:t>
      </w:r>
    </w:p>
    <w:tbl>
      <w:tblPr>
        <w:tblW w:w="9690" w:type="dxa"/>
        <w:jc w:val="left"/>
        <w:tblInd w:w="-6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-5" w:type="dxa"/>
          <w:bottom w:w="55" w:type="dxa"/>
          <w:right w:w="55" w:type="dxa"/>
        </w:tblCellMar>
      </w:tblPr>
      <w:tblGrid>
        <w:gridCol w:w="469"/>
        <w:gridCol w:w="4496"/>
        <w:gridCol w:w="1528"/>
        <w:gridCol w:w="1648"/>
        <w:gridCol w:w="1549"/>
      </w:tblGrid>
      <w:tr>
        <w:trPr/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Сума коштів, тис.грн.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Джерела фінансування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Виконавець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(замовник)</w:t>
            </w:r>
          </w:p>
        </w:tc>
      </w:tr>
      <w:tr>
        <w:trPr/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2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Благоустрій та озеленення міста</w:t>
            </w:r>
          </w:p>
        </w:tc>
      </w:tr>
      <w:tr>
        <w:trPr/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утримання об'єктів благоустрою (оплата праці озеленювачів, прибиральників, техніків- екологів та інші видатки); утримання монументу «Вічний вогонь»; витрати на оплату ПММ, матеріалів та запчастин; оплата за воду для поливу зелених насаджень; зовнішнє освітлення (оплата за електроенергію), газ, послуги сторонніх організацій)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5000,0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Міський бюджет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КП “КТП”</w:t>
            </w:r>
          </w:p>
        </w:tc>
      </w:tr>
      <w:tr>
        <w:trPr/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</w:rPr>
              <w:t>Заходи по благоустрою с. Роздольне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184,9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</w:rPr>
              <w:t>Заходи по благоустрою с. Малокаховка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398,5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</w:rPr>
              <w:t>Заходи по благоустрою с. Коробки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199,1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Збільшення потужностей електролічильників 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>260,0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Міський бюджет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КП “КТП”</w:t>
            </w:r>
          </w:p>
        </w:tc>
      </w:tr>
      <w:tr>
        <w:trPr/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Всього на виконання заходів з благоустрою та озеленення, тис.грн.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6042,489</w:t>
            </w:r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/>
      </w:pPr>
      <w:r>
        <w:rPr>
          <w:rFonts w:eastAsia="Batang;바탕" w:cs="Times New Roman" w:ascii="Times New Roman" w:hAnsi="Times New Roman"/>
          <w:bCs/>
          <w:sz w:val="26"/>
          <w:szCs w:val="26"/>
          <w:lang w:val="uk-UA" w:eastAsia="ru-RU" w:bidi="ar-SA"/>
        </w:rPr>
        <w:tab/>
        <w:t>2. Контроль за виконанням цього рішення покласти на заступника міського голови з питань діяльності виконавчих органів ради Орєхова І.М.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/>
      </w:pPr>
      <w:bookmarkStart w:id="1" w:name="__DdeLink__9267_1288460724"/>
      <w:bookmarkEnd w:id="1"/>
      <w:r>
        <w:rPr>
          <w:rFonts w:ascii="Times New Roman" w:hAnsi="Times New Roman"/>
          <w:sz w:val="26"/>
          <w:szCs w:val="26"/>
        </w:rPr>
        <w:tab/>
        <w:t>Міський голова</w:t>
        <w:tab/>
        <w:tab/>
        <w:tab/>
        <w:tab/>
        <w:tab/>
        <w:tab/>
        <w:t>Віталій Немерець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UkrainianPeterburg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  <w:font w:name="Antiqua">
    <w:altName w:val="Corbel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32"/>
        <w:b/>
        <w:szCs w:val="28"/>
        <w:rFonts w:ascii="Antiqua;Corbel" w:hAnsi="Antiqua;Corbel" w:eastAsia="Liberation Serif;Times New Roman" w:cs="Liberation Serif;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Cs w:val="24"/>
      <w:lang w:val="uk-UA"/>
    </w:rPr>
  </w:style>
  <w:style w:type="paragraph" w:styleId="3">
    <w:name w:val="Heading 3"/>
    <w:basedOn w:val="Normal"/>
    <w:next w:val="Normal"/>
    <w:qFormat/>
    <w:pPr>
      <w:keepNext/>
      <w:suppressAutoHyphens w:val="true"/>
      <w:jc w:val="center"/>
      <w:outlineLvl w:val="2"/>
    </w:pPr>
    <w:rPr>
      <w:rFonts w:ascii="UkrainianPeterburg;Courier New" w:hAnsi="UkrainianPeterburg;Courier New" w:eastAsia="Times New Roman" w:cs="UkrainianPeterburg;Courier New"/>
      <w:b/>
      <w:color w:val="000000"/>
      <w:sz w:val="24"/>
      <w:szCs w:val="20"/>
      <w:lang w:val="en-US" w:eastAsia="zh-CN"/>
    </w:rPr>
  </w:style>
  <w:style w:type="character" w:styleId="ListLabel27">
    <w:name w:val="ListLabel 27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28">
    <w:name w:val="ListLabel 28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29">
    <w:name w:val="ListLabel 29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30">
    <w:name w:val="ListLabel 30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31">
    <w:name w:val="ListLabel 31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32">
    <w:name w:val="ListLabel 32"/>
    <w:qFormat/>
    <w:rPr>
      <w:rFonts w:ascii="Times New Roman" w:hAnsi="Times New Roman" w:eastAsia="Liberation Serif;Times New Roman" w:cs="Liberation Serif;Times New Roman"/>
      <w:b w:val="false"/>
      <w:sz w:val="28"/>
      <w:szCs w:val="28"/>
    </w:rPr>
  </w:style>
  <w:style w:type="character" w:styleId="ListLabel33">
    <w:name w:val="ListLabel 33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34">
    <w:name w:val="ListLabel 34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35">
    <w:name w:val="ListLabel 35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36">
    <w:name w:val="ListLabel 36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37">
    <w:name w:val="ListLabel 37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38">
    <w:name w:val="ListLabel 38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39">
    <w:name w:val="ListLabel 39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40">
    <w:name w:val="ListLabel 40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41">
    <w:name w:val="ListLabel 41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42">
    <w:name w:val="ListLabel 42"/>
    <w:qFormat/>
    <w:rPr>
      <w:rFonts w:eastAsia="Liberation Serif;Times New Roman" w:cs="Liberation Serif;Times New Roman"/>
      <w:b w:val="false"/>
      <w:sz w:val="28"/>
      <w:szCs w:val="28"/>
    </w:rPr>
  </w:style>
  <w:style w:type="character" w:styleId="ListLabel43">
    <w:name w:val="ListLabel 43"/>
    <w:qFormat/>
    <w:rPr>
      <w:rFonts w:ascii="Antiqua;Corbel" w:hAnsi="Antiqua;Corbel" w:eastAsia="Liberation Serif;Times New Roman" w:cs="Liberation Serif;Times New Roman"/>
      <w:b/>
      <w:sz w:val="28"/>
      <w:szCs w:val="28"/>
    </w:rPr>
  </w:style>
  <w:style w:type="character" w:styleId="ListLabel44">
    <w:name w:val="ListLabel 44"/>
    <w:qFormat/>
    <w:rPr>
      <w:rFonts w:ascii="Times New Roman" w:hAnsi="Times New Roman" w:eastAsia="Liberation Serif;Times New Roman" w:cs="Liberation Serif;Times New Roman"/>
      <w:b/>
      <w:sz w:val="26"/>
      <w:szCs w:val="28"/>
    </w:rPr>
  </w:style>
  <w:style w:type="character" w:styleId="ListLabel45">
    <w:name w:val="ListLabel 45"/>
    <w:qFormat/>
    <w:rPr>
      <w:rFonts w:ascii="Antiqua;Corbel" w:hAnsi="Antiqua;Corbel" w:eastAsia="Liberation Serif;Times New Roman" w:cs="Liberation Serif;Times New Roman"/>
      <w:b/>
      <w:sz w:val="32"/>
      <w:szCs w:val="28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Style17">
    <w:name w:val="заголов"/>
    <w:basedOn w:val="Normal"/>
    <w:qFormat/>
    <w:pPr>
      <w:widowControl w:val="false"/>
      <w:suppressAutoHyphens w:val="true"/>
      <w:jc w:val="center"/>
    </w:pPr>
    <w:rPr>
      <w:rFonts w:eastAsia="Lucida Sans Unicode"/>
      <w:b/>
      <w:sz w:val="24"/>
      <w:szCs w:val="24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550</TotalTime>
  <Application>LibreOffice/5.1.6.2$Linux_x86 LibreOffice_project/10m0$Build-2</Application>
  <Pages>3</Pages>
  <Words>507</Words>
  <Characters>3393</Characters>
  <CharactersWithSpaces>3842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2020-11-26T09:55:25Z</dcterms:created>
  <dc:creator/>
  <dc:description/>
  <dc:language>uk-UA</dc:language>
  <cp:lastModifiedBy/>
  <cp:lastPrinted>2021-03-16T08:22:21Z</cp:lastPrinted>
  <dcterms:modified xsi:type="dcterms:W3CDTF">2021-03-18T11:27:55Z</dcterms:modified>
  <cp:revision>27</cp:revision>
  <dc:subject/>
  <dc:title/>
</cp:coreProperties>
</file>