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drawing>
            <wp:inline distT="0" distB="1016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1016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spacing w:lineRule="auto" w:line="240" w:before="0" w:after="0"/>
        <w:jc w:val="center"/>
        <w:rPr>
          <w:rFonts w:eastAsia="Batang" w:cs="Times New Roman" w:ascii="Times New Roman" w:hAnsi="Times New Roman"/>
          <w:b/>
          <w:sz w:val="28"/>
          <w:szCs w:val="28"/>
          <w:lang w:val="uk-UA" w:eastAsia="ru-RU"/>
        </w:rPr>
      </w:pPr>
      <w:r>
        <w:rPr>
          <w:rFonts w:eastAsia="Batang" w:cs="Times New Roman" w:ascii="Times New Roman" w:hAnsi="Times New Roman"/>
          <w:b/>
          <w:sz w:val="28"/>
          <w:szCs w:val="28"/>
          <w:lang w:val="uk-UA" w:eastAsia="ru-RU"/>
        </w:rPr>
        <w:t>КАХОВСЬКА  МІСЬКА  РАДА</w:t>
      </w:r>
    </w:p>
    <w:p>
      <w:pPr>
        <w:pStyle w:val="Normal"/>
        <w:keepNext/>
        <w:numPr>
          <w:ilvl w:val="2"/>
          <w:numId w:val="2"/>
        </w:numPr>
        <w:suppressAutoHyphens w:val="true"/>
        <w:spacing w:lineRule="auto" w:line="240" w:before="0" w:after="0"/>
        <w:jc w:val="center"/>
        <w:outlineLvl w:val="2"/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zh-CN"/>
        </w:rPr>
        <w:t>ХЕРСОНСЬКОЇ  ОБЛАСТІ</w:t>
      </w:r>
    </w:p>
    <w:p>
      <w:pPr>
        <w:pStyle w:val="Normal"/>
        <w:spacing w:lineRule="auto" w:line="240" w:before="0" w:after="0"/>
        <w:jc w:val="center"/>
        <w:rPr>
          <w:rFonts w:eastAsia="Batang" w:cs="Times New Roman" w:ascii="Times New Roman" w:hAnsi="Times New Roman"/>
          <w:sz w:val="16"/>
          <w:szCs w:val="28"/>
          <w:lang w:val="uk-UA" w:eastAsia="ru-RU"/>
        </w:rPr>
      </w:pPr>
      <w:r>
        <w:rPr>
          <w:rFonts w:eastAsia="Batang" w:cs="Times New Roman" w:ascii="Times New Roman" w:hAnsi="Times New Roman"/>
          <w:sz w:val="16"/>
          <w:szCs w:val="28"/>
          <w:lang w:val="uk-UA" w:eastAsia="ru-RU"/>
        </w:rPr>
      </w:r>
    </w:p>
    <w:p>
      <w:pPr>
        <w:pStyle w:val="Normal"/>
        <w:keepNext/>
        <w:numPr>
          <w:ilvl w:val="0"/>
          <w:numId w:val="2"/>
        </w:numPr>
        <w:suppressAutoHyphens w:val="true"/>
        <w:spacing w:lineRule="auto" w:line="240" w:before="0" w:after="0"/>
        <w:jc w:val="center"/>
        <w:outlineLvl w:val="0"/>
        <w:rPr>
          <w:rFonts w:eastAsia="Times New Roman" w:cs="Times New Roman" w:ascii="Times New Roman" w:hAnsi="Times New Roman"/>
          <w:b/>
          <w:color w:val="000000"/>
          <w:sz w:val="32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20"/>
          <w:lang w:val="uk-UA" w:eastAsia="zh-CN"/>
        </w:rPr>
        <w:t>РОЗПОРЯДЖЕННЯ</w:t>
      </w:r>
    </w:p>
    <w:p>
      <w:pPr>
        <w:pStyle w:val="Normal"/>
        <w:spacing w:lineRule="auto" w:line="240" w:before="0" w:after="0"/>
        <w:jc w:val="center"/>
        <w:rPr>
          <w:rFonts w:eastAsia="Batang" w:cs="Times New Roman" w:ascii="Times New Roman" w:hAnsi="Times New Roman"/>
          <w:sz w:val="28"/>
          <w:szCs w:val="28"/>
          <w:lang w:val="uk-UA" w:eastAsia="zh-CN"/>
        </w:rPr>
      </w:pPr>
      <w:r>
        <w:rPr>
          <w:rFonts w:eastAsia="Batang" w:cs="Times New Roman" w:ascii="Times New Roman" w:hAnsi="Times New Roman"/>
          <w:sz w:val="28"/>
          <w:szCs w:val="28"/>
          <w:lang w:val="uk-UA" w:eastAsia="zh-CN"/>
        </w:rPr>
        <w:t>МІСЬКОГО ГОЛОВИ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Lucida Sans Unicode" w:cs="Times New Roman" w:ascii="Antiqua" w:hAnsi="Antiqua"/>
          <w:b/>
          <w:spacing w:val="140"/>
          <w:sz w:val="32"/>
          <w:szCs w:val="24"/>
          <w:lang w:val="uk-UA" w:eastAsia="ar-SA"/>
        </w:rPr>
      </w:pPr>
      <w:r>
        <w:rPr>
          <w:rFonts w:eastAsia="Lucida Sans Unicode" w:cs="Times New Roman" w:ascii="Antiqua" w:hAnsi="Antiqua"/>
          <w:b/>
          <w:spacing w:val="140"/>
          <w:sz w:val="32"/>
          <w:szCs w:val="24"/>
          <w:lang w:val="uk-UA" w:eastAsia="ar-SA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spacing w:lineRule="auto" w:line="240" w:before="0" w:after="0"/>
              <w:jc w:val="both"/>
              <w:rPr>
                <w:rFonts w:eastAsia="Lucida Sans Unicode" w:cs="Times New Roman" w:ascii="Times New Roman" w:hAnsi="Times New Roman"/>
                <w:sz w:val="28"/>
                <w:szCs w:val="28"/>
                <w:u w:val="single"/>
                <w:lang w:val="uk-UA" w:eastAsia="ar-SA"/>
              </w:rPr>
            </w:pPr>
            <w:r>
              <w:rPr>
                <w:rFonts w:eastAsia="Lucida Sans Unicode" w:cs="Times New Roman" w:ascii="Times New Roman" w:hAnsi="Times New Roman"/>
                <w:sz w:val="28"/>
                <w:szCs w:val="28"/>
                <w:u w:val="single"/>
                <w:lang w:val="uk-UA" w:eastAsia="ar-SA"/>
              </w:rPr>
              <w:t>15.03.2021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Times New Roman" w:hAnsi="Times New Roman"/>
                <w:sz w:val="26"/>
                <w:szCs w:val="26"/>
                <w:lang w:val="uk-UA" w:eastAsia="ar-SA"/>
              </w:rPr>
            </w:pPr>
            <w:r>
              <w:rPr>
                <w:rFonts w:eastAsia="Lucida Sans Unicode" w:cs="Times New Roman" w:ascii="Times New Roman" w:hAnsi="Times New Roman"/>
                <w:sz w:val="26"/>
                <w:szCs w:val="26"/>
                <w:lang w:val="uk-UA" w:eastAsia="ar-SA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spacing w:lineRule="auto" w:line="240" w:before="0" w:after="0"/>
              <w:jc w:val="right"/>
              <w:rPr>
                <w:rFonts w:eastAsia="Lucida Sans Unicode" w:cs="Times New Roman" w:ascii="Times New Roman" w:hAnsi="Times New Roman"/>
                <w:sz w:val="28"/>
                <w:szCs w:val="28"/>
                <w:u w:val="single"/>
                <w:lang w:val="uk-UA" w:eastAsia="ar-SA"/>
              </w:rPr>
            </w:pPr>
            <w:r>
              <w:rPr>
                <w:rFonts w:eastAsia="Lucida Sans Unicode" w:cs="Times New Roman" w:ascii="Times New Roman" w:hAnsi="Times New Roman"/>
                <w:sz w:val="26"/>
                <w:szCs w:val="26"/>
                <w:lang w:val="uk-UA" w:eastAsia="ar-SA"/>
              </w:rPr>
              <w:t xml:space="preserve">№ </w:t>
            </w:r>
            <w:bookmarkStart w:id="0" w:name="_GoBack"/>
            <w:bookmarkEnd w:id="0"/>
            <w:r>
              <w:rPr>
                <w:rFonts w:eastAsia="Lucida Sans Unicode" w:cs="Times New Roman" w:ascii="Times New Roman" w:hAnsi="Times New Roman"/>
                <w:sz w:val="28"/>
                <w:szCs w:val="28"/>
                <w:u w:val="single"/>
                <w:lang w:val="uk-UA" w:eastAsia="ar-SA"/>
              </w:rPr>
              <w:t>53-р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призначення адміністратора безпеки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робочого місця стороннього користувача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автоматизованої системи Державного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земельного кадастру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п. 20 ч. 4 ст. 42 Закону України «Про місцеве самоврядування в Україні», ст. 4 Закону України «Про захист інформації в інформаційно-телекомунікаційних системах», постанови Кабінету Міністрів України від 29.03.2006 року № 373 «Про затвердження Правил забезпечення захисту інформації в інформаційних, телекомунікаційних та інформаційно-телекомунікаційних системах», нормативних документів системи технічного захисту інформації НД ТЗІ 3.7-003-2005 «Порядок проведення робіт із створення комплексної системи захисту інформації в інформаційно-телекомунікаційній системі», з метою підключення типового робочого місця стороннього користувача до автоматизованої системи Державного земельного кадастру та з метою захисту інформації: </w:t>
      </w:r>
    </w:p>
    <w:p>
      <w:pPr>
        <w:pStyle w:val="Normal"/>
        <w:tabs>
          <w:tab w:val="left" w:pos="3195" w:leader="none"/>
        </w:tabs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</w:p>
    <w:p>
      <w:pPr>
        <w:pStyle w:val="ListParagraph"/>
        <w:numPr>
          <w:ilvl w:val="0"/>
          <w:numId w:val="1"/>
        </w:numPr>
        <w:spacing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Призначити адміністратором безпеки типового робочого місця стороннього користувача автоматизованої системи Державного земельного кадастру головного спеціаліста загального відділу Каховської міської ради Єрещенко Наталю Сергіївну. </w:t>
      </w:r>
    </w:p>
    <w:p>
      <w:pPr>
        <w:pStyle w:val="ListParagraph"/>
        <w:numPr>
          <w:ilvl w:val="0"/>
          <w:numId w:val="1"/>
        </w:numPr>
        <w:spacing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Лобунько Г.П. 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>Віталій Немерець</w:t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uiPriority w:val="99"/>
    <w:semiHidden/>
    <w:link w:val="a4"/>
    <w:rsid w:val="0088609e"/>
    <w:basedOn w:val="DefaultParagraphFont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d77f81"/>
    <w:basedOn w:val="Normal"/>
    <w:pPr>
      <w:spacing w:before="0" w:after="16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a5"/>
    <w:rsid w:val="0088609e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2021-03-11T09:40:00Z</dcterms:created>
  <dc:creator>Батурина</dc:creator>
  <dc:language>ru-RU</dc:language>
  <cp:lastModifiedBy>Батурина</cp:lastModifiedBy>
  <cp:lastPrinted>2021-03-12T06:47:00Z</cp:lastPrinted>
  <dcterms:modified xsi:type="dcterms:W3CDTF">2021-03-29T11:22:00Z</dcterms:modified>
  <cp:revision>14</cp:revision>
</cp:coreProperties>
</file>